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4F382" w14:textId="77777777" w:rsidR="00765031" w:rsidRPr="009D0AE0" w:rsidRDefault="009D0AE0" w:rsidP="009D0AE0">
      <w:pPr>
        <w:shd w:val="clear" w:color="auto" w:fill="FFFFFF"/>
        <w:spacing w:after="225" w:line="240" w:lineRule="auto"/>
        <w:outlineLvl w:val="0"/>
        <w:rPr>
          <w:rFonts w:ascii="Georgia" w:eastAsia="Times New Roman" w:hAnsi="Georgia" w:cs="Times New Roman"/>
          <w:color w:val="333333"/>
          <w:kern w:val="36"/>
          <w:sz w:val="36"/>
          <w:szCs w:val="36"/>
          <w:lang w:val="es-ES" w:eastAsia="es-ES"/>
        </w:rPr>
      </w:pPr>
      <w:r w:rsidRPr="009D0AE0">
        <w:rPr>
          <w:rFonts w:ascii="Georgia" w:eastAsia="Times New Roman" w:hAnsi="Georgia" w:cs="Times New Roman"/>
          <w:color w:val="333333"/>
          <w:kern w:val="36"/>
          <w:sz w:val="36"/>
          <w:szCs w:val="36"/>
          <w:lang w:val="es-ES" w:eastAsia="es-ES"/>
        </w:rPr>
        <w:t>La berberina reduce la glucosa en sangre en pacientes con diabetes mellitus tipo 2 al aumentar la expresión del receptor de insulina</w:t>
      </w:r>
      <w:r>
        <w:rPr>
          <w:rFonts w:ascii="Georgia" w:eastAsia="Times New Roman" w:hAnsi="Georgia" w:cs="Times New Roman"/>
          <w:color w:val="333333"/>
          <w:kern w:val="36"/>
          <w:sz w:val="36"/>
          <w:szCs w:val="36"/>
          <w:lang w:val="es-ES" w:eastAsia="es-ES"/>
        </w:rPr>
        <w:t>.</w:t>
      </w:r>
    </w:p>
    <w:p w14:paraId="665E837D" w14:textId="77777777" w:rsidR="00765031" w:rsidRPr="00765031" w:rsidRDefault="00765031" w:rsidP="00765031">
      <w:pPr>
        <w:spacing w:after="45" w:line="375" w:lineRule="atLeast"/>
        <w:outlineLvl w:val="1"/>
        <w:rPr>
          <w:rFonts w:ascii="Georgia" w:eastAsia="Times New Roman" w:hAnsi="Georgia" w:cs="Times New Roman"/>
          <w:color w:val="333333"/>
          <w:sz w:val="36"/>
          <w:szCs w:val="36"/>
          <w:lang w:val="es-ES" w:eastAsia="es-ES"/>
        </w:rPr>
      </w:pPr>
      <w:r w:rsidRPr="00765031">
        <w:rPr>
          <w:rFonts w:ascii="Georgia" w:eastAsia="Times New Roman" w:hAnsi="Georgia" w:cs="Times New Roman"/>
          <w:color w:val="333333"/>
          <w:sz w:val="36"/>
          <w:szCs w:val="36"/>
          <w:lang w:val="es-ES" w:eastAsia="es-ES"/>
        </w:rPr>
        <w:t>Resumen</w:t>
      </w:r>
    </w:p>
    <w:p w14:paraId="52E73444" w14:textId="77777777" w:rsidR="00765031" w:rsidRDefault="00765031" w:rsidP="007C0944">
      <w:pPr>
        <w:spacing w:after="288" w:line="360" w:lineRule="atLeast"/>
        <w:jc w:val="both"/>
        <w:rPr>
          <w:rFonts w:ascii="Helvetica" w:eastAsia="Times New Roman" w:hAnsi="Helvetica" w:cs="Helvetica"/>
          <w:color w:val="333333"/>
          <w:sz w:val="18"/>
          <w:szCs w:val="18"/>
          <w:lang w:val="es-ES" w:eastAsia="es-ES"/>
        </w:rPr>
      </w:pPr>
      <w:r w:rsidRPr="00765031">
        <w:rPr>
          <w:rFonts w:ascii="Helvetica" w:eastAsia="Times New Roman" w:hAnsi="Helvetica" w:cs="Helvetica"/>
          <w:color w:val="333333"/>
          <w:sz w:val="18"/>
          <w:szCs w:val="18"/>
          <w:lang w:val="es-ES" w:eastAsia="es-ES"/>
        </w:rPr>
        <w:t>Nuestro trabajo anterior demostró que la berberina (BBR) aumenta la expresión del receptor de insulina (InsR) y mejora la utilidad de la glucosa tanto in vitro como en modelos animales. Aquí, estudiamos las actividades de reducción de glucosa y regulación de InsR de BBR en humanos. Nuestros resultados mostraron que BBR aumentó la expresión de proteínas y ARN mensajero InsR en una variedad de líneas celulares humanas, incluidas CEM, HCT-116, SW1990, HT1080, 293T y células hepáticas humanas transfectadas con el virus de la hepatitis B. Por consiguiente, las fosforilaciones estimuladas por insulina de la subunidad </w:t>
      </w:r>
      <w:r w:rsidRPr="00765031">
        <w:rPr>
          <w:rFonts w:ascii="Helvetica" w:eastAsia="Times New Roman" w:hAnsi="Helvetica" w:cs="Helvetica"/>
          <w:i/>
          <w:iCs/>
          <w:color w:val="333333"/>
          <w:sz w:val="18"/>
          <w:szCs w:val="18"/>
          <w:lang w:val="es-ES" w:eastAsia="es-ES"/>
        </w:rPr>
        <w:t>β</w:t>
      </w:r>
      <w:r w:rsidRPr="00765031">
        <w:rPr>
          <w:rFonts w:ascii="Helvetica" w:eastAsia="Times New Roman" w:hAnsi="Helvetica" w:cs="Helvetica"/>
          <w:color w:val="333333"/>
          <w:sz w:val="18"/>
          <w:szCs w:val="18"/>
          <w:lang w:val="es-ES" w:eastAsia="es-ES"/>
        </w:rPr>
        <w:t xml:space="preserve"> de InsR y </w:t>
      </w:r>
      <w:proofErr w:type="spellStart"/>
      <w:r w:rsidRPr="00765031">
        <w:rPr>
          <w:rFonts w:ascii="Helvetica" w:eastAsia="Times New Roman" w:hAnsi="Helvetica" w:cs="Helvetica"/>
          <w:color w:val="333333"/>
          <w:sz w:val="18"/>
          <w:szCs w:val="18"/>
          <w:lang w:val="es-ES" w:eastAsia="es-ES"/>
        </w:rPr>
        <w:t>Akt</w:t>
      </w:r>
      <w:proofErr w:type="spellEnd"/>
      <w:r w:rsidRPr="00765031">
        <w:rPr>
          <w:rFonts w:ascii="Helvetica" w:eastAsia="Times New Roman" w:hAnsi="Helvetica" w:cs="Helvetica"/>
          <w:color w:val="333333"/>
          <w:sz w:val="18"/>
          <w:szCs w:val="18"/>
          <w:lang w:val="es-ES" w:eastAsia="es-ES"/>
        </w:rPr>
        <w:t xml:space="preserve"> aumentaron después del tratamiento con BBR en células cultivadas. En el estudio clínico, BBR redujo significativamente los niveles de glucosa en sangre en ayunas (FBG), hemoglobina A </w:t>
      </w:r>
      <w:r w:rsidRPr="00765031">
        <w:rPr>
          <w:rFonts w:ascii="Helvetica" w:eastAsia="Times New Roman" w:hAnsi="Helvetica" w:cs="Helvetica"/>
          <w:color w:val="333333"/>
          <w:sz w:val="20"/>
          <w:szCs w:val="20"/>
          <w:vertAlign w:val="subscript"/>
          <w:lang w:val="es-ES" w:eastAsia="es-ES"/>
        </w:rPr>
        <w:t>1</w:t>
      </w:r>
      <w:proofErr w:type="gramStart"/>
      <w:r w:rsidRPr="00765031">
        <w:rPr>
          <w:rFonts w:ascii="Helvetica" w:eastAsia="Times New Roman" w:hAnsi="Helvetica" w:cs="Helvetica"/>
          <w:color w:val="333333"/>
          <w:sz w:val="20"/>
          <w:szCs w:val="20"/>
          <w:vertAlign w:val="subscript"/>
          <w:lang w:val="es-ES" w:eastAsia="es-ES"/>
        </w:rPr>
        <w:t>c</w:t>
      </w:r>
      <w:r w:rsidRPr="00765031">
        <w:rPr>
          <w:rFonts w:ascii="Helvetica" w:eastAsia="Times New Roman" w:hAnsi="Helvetica" w:cs="Helvetica"/>
          <w:color w:val="333333"/>
          <w:sz w:val="18"/>
          <w:szCs w:val="18"/>
          <w:lang w:val="es-ES" w:eastAsia="es-ES"/>
        </w:rPr>
        <w:t> ,</w:t>
      </w:r>
      <w:proofErr w:type="gramEnd"/>
      <w:r w:rsidRPr="00765031">
        <w:rPr>
          <w:rFonts w:ascii="Helvetica" w:eastAsia="Times New Roman" w:hAnsi="Helvetica" w:cs="Helvetica"/>
          <w:color w:val="333333"/>
          <w:sz w:val="18"/>
          <w:szCs w:val="18"/>
          <w:lang w:val="es-ES" w:eastAsia="es-ES"/>
        </w:rPr>
        <w:t xml:space="preserve"> triglicéridos e insulina en pacientes con diabetes mellitus tipo 2 (DM2). El FBG y la hemoglobina </w:t>
      </w:r>
      <w:proofErr w:type="spellStart"/>
      <w:r w:rsidRPr="00765031">
        <w:rPr>
          <w:rFonts w:ascii="Helvetica" w:eastAsia="Times New Roman" w:hAnsi="Helvetica" w:cs="Helvetica"/>
          <w:color w:val="333333"/>
          <w:sz w:val="18"/>
          <w:szCs w:val="18"/>
          <w:lang w:val="es-ES" w:eastAsia="es-ES"/>
        </w:rPr>
        <w:t>A</w:t>
      </w:r>
      <w:r w:rsidRPr="00765031">
        <w:rPr>
          <w:rFonts w:ascii="Helvetica" w:eastAsia="Times New Roman" w:hAnsi="Helvetica" w:cs="Helvetica"/>
          <w:color w:val="333333"/>
          <w:sz w:val="20"/>
          <w:szCs w:val="20"/>
          <w:vertAlign w:val="subscript"/>
          <w:lang w:val="es-ES" w:eastAsia="es-ES"/>
        </w:rPr>
        <w:t>Las</w:t>
      </w:r>
      <w:proofErr w:type="spellEnd"/>
      <w:r w:rsidRPr="00765031">
        <w:rPr>
          <w:rFonts w:ascii="Helvetica" w:eastAsia="Times New Roman" w:hAnsi="Helvetica" w:cs="Helvetica"/>
          <w:color w:val="333333"/>
          <w:sz w:val="18"/>
          <w:szCs w:val="18"/>
          <w:lang w:val="es-ES" w:eastAsia="es-ES"/>
        </w:rPr>
        <w:t> eficiencias de reducción de </w:t>
      </w:r>
      <w:r w:rsidRPr="00765031">
        <w:rPr>
          <w:rFonts w:ascii="Helvetica" w:eastAsia="Times New Roman" w:hAnsi="Helvetica" w:cs="Helvetica"/>
          <w:color w:val="333333"/>
          <w:sz w:val="20"/>
          <w:szCs w:val="20"/>
          <w:vertAlign w:val="subscript"/>
          <w:lang w:val="es-ES" w:eastAsia="es-ES"/>
        </w:rPr>
        <w:t>1c</w:t>
      </w:r>
      <w:r w:rsidRPr="00765031">
        <w:rPr>
          <w:rFonts w:ascii="Helvetica" w:eastAsia="Times New Roman" w:hAnsi="Helvetica" w:cs="Helvetica"/>
          <w:color w:val="333333"/>
          <w:sz w:val="18"/>
          <w:szCs w:val="18"/>
          <w:lang w:val="es-ES" w:eastAsia="es-ES"/>
        </w:rPr>
        <w:t> de BBR fueron similares a las de metformina y rosiglitazona. En los pacientes tratados con BBR, los porcentajes de linfocitos de sangre periférica que expresan InsR se elevaron significativamente después de la terapia. La berberina también redujo la FBG de manera efectiva en pacientes con hepatitis B crónica y hepatitis C con DM2 o glucosa en ayunas alterada. La función hepática mejoró enormemente en estos pacientes al mostrar una reducción de las enzimas hepáticas. Nuestros resultados confirmaron la actividad de BBR en InsR en humanos y su relación con el efecto reductor de glucosa. Junto con nuestro informe anterior, sugerimos encarecidamente BBR como un medicamento ideal para la DM2 con un mecanismo diferente de metformina y rosiglitazona.</w:t>
      </w:r>
    </w:p>
    <w:p w14:paraId="0ACCF716" w14:textId="77777777" w:rsidR="00765031" w:rsidRPr="00765031" w:rsidRDefault="00765031" w:rsidP="007C0944">
      <w:pPr>
        <w:shd w:val="clear" w:color="auto" w:fill="FFFFFF"/>
        <w:spacing w:after="45" w:line="375" w:lineRule="atLeast"/>
        <w:jc w:val="both"/>
        <w:outlineLvl w:val="1"/>
        <w:rPr>
          <w:rFonts w:ascii="Georgia" w:eastAsia="Times New Roman" w:hAnsi="Georgia" w:cs="Times New Roman"/>
          <w:color w:val="333333"/>
          <w:sz w:val="36"/>
          <w:szCs w:val="36"/>
          <w:lang w:val="es-ES" w:eastAsia="es-ES"/>
        </w:rPr>
      </w:pPr>
      <w:r w:rsidRPr="00765031">
        <w:rPr>
          <w:rFonts w:ascii="Georgia" w:eastAsia="Times New Roman" w:hAnsi="Georgia" w:cs="Times New Roman"/>
          <w:color w:val="333333"/>
          <w:sz w:val="36"/>
          <w:szCs w:val="36"/>
          <w:lang w:val="es-ES" w:eastAsia="es-ES"/>
        </w:rPr>
        <w:t>Introducción</w:t>
      </w:r>
    </w:p>
    <w:p w14:paraId="742FCD6C" w14:textId="77777777" w:rsidR="00765031" w:rsidRPr="00765031" w:rsidRDefault="00765031"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765031">
        <w:rPr>
          <w:rFonts w:ascii="Helvetica" w:eastAsia="Times New Roman" w:hAnsi="Helvetica" w:cs="Helvetica"/>
          <w:color w:val="333333"/>
          <w:sz w:val="18"/>
          <w:szCs w:val="18"/>
          <w:lang w:val="es-ES" w:eastAsia="es-ES"/>
        </w:rPr>
        <w:t>El receptor de insulina (InsR) es una glicoproteína que abarca la membrana y que es esencial para la acción de la insulina. La unión de insulina a InsR en el hígado, los músculos o los tejidos adiposos desencadena múltiples vías intracelulares que causan la síntesis de glucógeno y el aumento de la captación de glucosa, así como la reducción de la producción de glucosa hepática / muscular. El nivel de glucosa en sangre se reduce así [ </w:t>
      </w:r>
      <w:hyperlink r:id="rId4" w:history="1">
        <w:r w:rsidRPr="00765031">
          <w:rPr>
            <w:rFonts w:ascii="Helvetica" w:eastAsia="Times New Roman" w:hAnsi="Helvetica" w:cs="Helvetica"/>
            <w:color w:val="336699"/>
            <w:sz w:val="18"/>
            <w:szCs w:val="18"/>
            <w:u w:val="single"/>
            <w:lang w:val="es-ES" w:eastAsia="es-ES"/>
          </w:rPr>
          <w:t>1</w:t>
        </w:r>
      </w:hyperlink>
      <w:r w:rsidRPr="00765031">
        <w:rPr>
          <w:rFonts w:ascii="Helvetica" w:eastAsia="Times New Roman" w:hAnsi="Helvetica" w:cs="Helvetica"/>
          <w:color w:val="333333"/>
          <w:sz w:val="18"/>
          <w:szCs w:val="18"/>
          <w:lang w:val="es-ES" w:eastAsia="es-ES"/>
        </w:rPr>
        <w:t> , </w:t>
      </w:r>
      <w:hyperlink r:id="rId5" w:history="1">
        <w:r w:rsidRPr="00765031">
          <w:rPr>
            <w:rFonts w:ascii="Helvetica" w:eastAsia="Times New Roman" w:hAnsi="Helvetica" w:cs="Helvetica"/>
            <w:color w:val="336699"/>
            <w:sz w:val="18"/>
            <w:szCs w:val="18"/>
            <w:u w:val="single"/>
            <w:lang w:val="es-ES" w:eastAsia="es-ES"/>
          </w:rPr>
          <w:t>2</w:t>
        </w:r>
      </w:hyperlink>
      <w:r w:rsidRPr="00765031">
        <w:rPr>
          <w:rFonts w:ascii="Helvetica" w:eastAsia="Times New Roman" w:hAnsi="Helvetica" w:cs="Helvetica"/>
          <w:color w:val="333333"/>
          <w:sz w:val="18"/>
          <w:szCs w:val="18"/>
          <w:lang w:val="es-ES" w:eastAsia="es-ES"/>
        </w:rPr>
        <w:t> ]. Este es uno de los principales mecanismos para que el cuerpo humano mantenga la homeostasis de la glucosa. La interrupción de la expresión de InsR genera un fenotipo hiperglucémico en ratones [ </w:t>
      </w:r>
      <w:hyperlink r:id="rId6" w:history="1">
        <w:r w:rsidRPr="00765031">
          <w:rPr>
            <w:rFonts w:ascii="Helvetica" w:eastAsia="Times New Roman" w:hAnsi="Helvetica" w:cs="Helvetica"/>
            <w:color w:val="336699"/>
            <w:sz w:val="18"/>
            <w:szCs w:val="18"/>
            <w:u w:val="single"/>
            <w:lang w:val="es-ES" w:eastAsia="es-ES"/>
          </w:rPr>
          <w:t>3</w:t>
        </w:r>
      </w:hyperlink>
      <w:r w:rsidRPr="00765031">
        <w:rPr>
          <w:rFonts w:ascii="Helvetica" w:eastAsia="Times New Roman" w:hAnsi="Helvetica" w:cs="Helvetica"/>
          <w:color w:val="333333"/>
          <w:sz w:val="18"/>
          <w:szCs w:val="18"/>
          <w:lang w:val="es-ES" w:eastAsia="es-ES"/>
        </w:rPr>
        <w:t> ] . La diabetes mellitus tipo 2 (DM2) es un estado hiperglucémico humano que se caracteriza por la resistencia a la insulina en los tejidos periféricos, particularmente el hígado, los músculos, los adipocitos y la </w:t>
      </w:r>
      <w:r w:rsidRPr="00765031">
        <w:rPr>
          <w:rFonts w:ascii="Helvetica" w:eastAsia="Times New Roman" w:hAnsi="Helvetica" w:cs="Helvetica"/>
          <w:i/>
          <w:iCs/>
          <w:color w:val="333333"/>
          <w:sz w:val="18"/>
          <w:szCs w:val="18"/>
          <w:lang w:val="es-ES" w:eastAsia="es-ES"/>
        </w:rPr>
        <w:t>β</w:t>
      </w:r>
      <w:r w:rsidRPr="00765031">
        <w:rPr>
          <w:rFonts w:ascii="Helvetica" w:eastAsia="Times New Roman" w:hAnsi="Helvetica" w:cs="Helvetica"/>
          <w:color w:val="333333"/>
          <w:sz w:val="18"/>
          <w:szCs w:val="18"/>
          <w:lang w:val="es-ES" w:eastAsia="es-ES"/>
        </w:rPr>
        <w:t> pancreática.-células [ </w:t>
      </w:r>
      <w:hyperlink r:id="rId7" w:history="1">
        <w:r w:rsidRPr="00765031">
          <w:rPr>
            <w:rFonts w:ascii="Helvetica" w:eastAsia="Times New Roman" w:hAnsi="Helvetica" w:cs="Helvetica"/>
            <w:color w:val="336699"/>
            <w:sz w:val="18"/>
            <w:szCs w:val="18"/>
            <w:u w:val="single"/>
            <w:lang w:val="es-ES" w:eastAsia="es-ES"/>
          </w:rPr>
          <w:t>1</w:t>
        </w:r>
      </w:hyperlink>
      <w:r w:rsidRPr="00765031">
        <w:rPr>
          <w:rFonts w:ascii="Helvetica" w:eastAsia="Times New Roman" w:hAnsi="Helvetica" w:cs="Helvetica"/>
          <w:color w:val="333333"/>
          <w:sz w:val="18"/>
          <w:szCs w:val="18"/>
          <w:lang w:val="es-ES" w:eastAsia="es-ES"/>
        </w:rPr>
        <w:t> , </w:t>
      </w:r>
      <w:hyperlink r:id="rId8" w:history="1">
        <w:r w:rsidRPr="00765031">
          <w:rPr>
            <w:rFonts w:ascii="Helvetica" w:eastAsia="Times New Roman" w:hAnsi="Helvetica" w:cs="Helvetica"/>
            <w:color w:val="336699"/>
            <w:sz w:val="18"/>
            <w:szCs w:val="18"/>
            <w:u w:val="single"/>
            <w:lang w:val="es-ES" w:eastAsia="es-ES"/>
          </w:rPr>
          <w:t>4</w:t>
        </w:r>
      </w:hyperlink>
      <w:r w:rsidRPr="00765031">
        <w:rPr>
          <w:rFonts w:ascii="Helvetica" w:eastAsia="Times New Roman" w:hAnsi="Helvetica" w:cs="Helvetica"/>
          <w:color w:val="333333"/>
          <w:sz w:val="18"/>
          <w:szCs w:val="18"/>
          <w:lang w:val="es-ES" w:eastAsia="es-ES"/>
        </w:rPr>
        <w:t> , </w:t>
      </w:r>
      <w:hyperlink r:id="rId9" w:history="1">
        <w:r w:rsidRPr="00765031">
          <w:rPr>
            <w:rFonts w:ascii="Helvetica" w:eastAsia="Times New Roman" w:hAnsi="Helvetica" w:cs="Helvetica"/>
            <w:color w:val="336699"/>
            <w:sz w:val="18"/>
            <w:szCs w:val="18"/>
            <w:u w:val="single"/>
            <w:lang w:val="es-ES" w:eastAsia="es-ES"/>
          </w:rPr>
          <w:t>5</w:t>
        </w:r>
      </w:hyperlink>
      <w:r w:rsidRPr="00765031">
        <w:rPr>
          <w:rFonts w:ascii="Helvetica" w:eastAsia="Times New Roman" w:hAnsi="Helvetica" w:cs="Helvetica"/>
          <w:color w:val="333333"/>
          <w:sz w:val="18"/>
          <w:szCs w:val="18"/>
          <w:lang w:val="es-ES" w:eastAsia="es-ES"/>
        </w:rPr>
        <w:t> ]. Alrededor del 92% de los pacientes con DM2 muestran resistencia a la insulina [ </w:t>
      </w:r>
      <w:hyperlink r:id="rId10" w:history="1">
        <w:r w:rsidRPr="00765031">
          <w:rPr>
            <w:rFonts w:ascii="Helvetica" w:eastAsia="Times New Roman" w:hAnsi="Helvetica" w:cs="Helvetica"/>
            <w:color w:val="336699"/>
            <w:sz w:val="18"/>
            <w:szCs w:val="18"/>
            <w:u w:val="single"/>
            <w:lang w:val="es-ES" w:eastAsia="es-ES"/>
          </w:rPr>
          <w:t>6</w:t>
        </w:r>
      </w:hyperlink>
      <w:r w:rsidRPr="00765031">
        <w:rPr>
          <w:rFonts w:ascii="Helvetica" w:eastAsia="Times New Roman" w:hAnsi="Helvetica" w:cs="Helvetica"/>
          <w:color w:val="333333"/>
          <w:sz w:val="18"/>
          <w:szCs w:val="18"/>
          <w:lang w:val="es-ES" w:eastAsia="es-ES"/>
        </w:rPr>
        <w:t> ] . Las personas con resistencia a la insulina tienen niveles disminuidos o ausencia de expresión de InsR [ </w:t>
      </w:r>
      <w:hyperlink r:id="rId11" w:history="1">
        <w:r w:rsidRPr="00765031">
          <w:rPr>
            <w:rFonts w:ascii="Helvetica" w:eastAsia="Times New Roman" w:hAnsi="Helvetica" w:cs="Helvetica"/>
            <w:color w:val="336699"/>
            <w:sz w:val="18"/>
            <w:szCs w:val="18"/>
            <w:u w:val="single"/>
            <w:lang w:val="es-ES" w:eastAsia="es-ES"/>
          </w:rPr>
          <w:t>7</w:t>
        </w:r>
      </w:hyperlink>
      <w:r w:rsidRPr="00765031">
        <w:rPr>
          <w:rFonts w:ascii="Helvetica" w:eastAsia="Times New Roman" w:hAnsi="Helvetica" w:cs="Helvetica"/>
          <w:color w:val="333333"/>
          <w:sz w:val="18"/>
          <w:szCs w:val="18"/>
          <w:lang w:val="es-ES" w:eastAsia="es-ES"/>
        </w:rPr>
        <w:t> , </w:t>
      </w:r>
      <w:hyperlink r:id="rId12" w:history="1">
        <w:r w:rsidRPr="00765031">
          <w:rPr>
            <w:rFonts w:ascii="Helvetica" w:eastAsia="Times New Roman" w:hAnsi="Helvetica" w:cs="Helvetica"/>
            <w:color w:val="336699"/>
            <w:sz w:val="18"/>
            <w:szCs w:val="18"/>
            <w:u w:val="single"/>
            <w:lang w:val="es-ES" w:eastAsia="es-ES"/>
          </w:rPr>
          <w:t>8</w:t>
        </w:r>
      </w:hyperlink>
      <w:r w:rsidRPr="00765031">
        <w:rPr>
          <w:rFonts w:ascii="Helvetica" w:eastAsia="Times New Roman" w:hAnsi="Helvetica" w:cs="Helvetica"/>
          <w:color w:val="333333"/>
          <w:sz w:val="18"/>
          <w:szCs w:val="18"/>
          <w:lang w:val="es-ES" w:eastAsia="es-ES"/>
        </w:rPr>
        <w:t> , </w:t>
      </w:r>
      <w:hyperlink r:id="rId13" w:history="1">
        <w:r w:rsidRPr="00765031">
          <w:rPr>
            <w:rFonts w:ascii="Helvetica" w:eastAsia="Times New Roman" w:hAnsi="Helvetica" w:cs="Helvetica"/>
            <w:color w:val="336699"/>
            <w:sz w:val="18"/>
            <w:szCs w:val="18"/>
            <w:u w:val="single"/>
            <w:lang w:val="es-ES" w:eastAsia="es-ES"/>
          </w:rPr>
          <w:t>9</w:t>
        </w:r>
      </w:hyperlink>
      <w:r w:rsidRPr="00765031">
        <w:rPr>
          <w:rFonts w:ascii="Helvetica" w:eastAsia="Times New Roman" w:hAnsi="Helvetica" w:cs="Helvetica"/>
          <w:color w:val="333333"/>
          <w:sz w:val="18"/>
          <w:szCs w:val="18"/>
          <w:lang w:val="es-ES" w:eastAsia="es-ES"/>
        </w:rPr>
        <w:t> ]. Por lo tanto, InsR se considera como un objetivo potencial para tratar la DM2 y la resistencia a la insulina, en la que la tirosina quinasa intrínseca podría activarse para la señalización de insulina. En la actualidad, se están desarrollando compuestos de pequeño peso molecular que imitan la acción de la insulina con el objetivo de descubrir miméticos de insulina hipoglucémicos [ </w:t>
      </w:r>
      <w:hyperlink r:id="rId14" w:history="1">
        <w:r w:rsidRPr="00765031">
          <w:rPr>
            <w:rFonts w:ascii="Helvetica" w:eastAsia="Times New Roman" w:hAnsi="Helvetica" w:cs="Helvetica"/>
            <w:color w:val="336699"/>
            <w:sz w:val="18"/>
            <w:szCs w:val="18"/>
            <w:u w:val="single"/>
            <w:lang w:val="es-ES" w:eastAsia="es-ES"/>
          </w:rPr>
          <w:t>8</w:t>
        </w:r>
      </w:hyperlink>
      <w:r w:rsidRPr="00765031">
        <w:rPr>
          <w:rFonts w:ascii="Helvetica" w:eastAsia="Times New Roman" w:hAnsi="Helvetica" w:cs="Helvetica"/>
          <w:color w:val="333333"/>
          <w:sz w:val="18"/>
          <w:szCs w:val="18"/>
          <w:lang w:val="es-ES" w:eastAsia="es-ES"/>
        </w:rPr>
        <w:t> , </w:t>
      </w:r>
      <w:hyperlink r:id="rId15" w:history="1">
        <w:r w:rsidRPr="00765031">
          <w:rPr>
            <w:rFonts w:ascii="Helvetica" w:eastAsia="Times New Roman" w:hAnsi="Helvetica" w:cs="Helvetica"/>
            <w:color w:val="336699"/>
            <w:sz w:val="18"/>
            <w:szCs w:val="18"/>
            <w:u w:val="single"/>
            <w:lang w:val="es-ES" w:eastAsia="es-ES"/>
          </w:rPr>
          <w:t>10</w:t>
        </w:r>
      </w:hyperlink>
      <w:r w:rsidRPr="00765031">
        <w:rPr>
          <w:rFonts w:ascii="Helvetica" w:eastAsia="Times New Roman" w:hAnsi="Helvetica" w:cs="Helvetica"/>
          <w:color w:val="333333"/>
          <w:sz w:val="18"/>
          <w:szCs w:val="18"/>
          <w:lang w:val="es-ES" w:eastAsia="es-ES"/>
        </w:rPr>
        <w:t> , </w:t>
      </w:r>
      <w:hyperlink r:id="rId16" w:history="1">
        <w:r w:rsidRPr="00765031">
          <w:rPr>
            <w:rFonts w:ascii="Helvetica" w:eastAsia="Times New Roman" w:hAnsi="Helvetica" w:cs="Helvetica"/>
            <w:color w:val="336699"/>
            <w:sz w:val="18"/>
            <w:szCs w:val="18"/>
            <w:u w:val="single"/>
            <w:lang w:val="es-ES" w:eastAsia="es-ES"/>
          </w:rPr>
          <w:t>11</w:t>
        </w:r>
      </w:hyperlink>
      <w:r w:rsidRPr="00765031">
        <w:rPr>
          <w:rFonts w:ascii="Helvetica" w:eastAsia="Times New Roman" w:hAnsi="Helvetica" w:cs="Helvetica"/>
          <w:color w:val="333333"/>
          <w:sz w:val="18"/>
          <w:szCs w:val="18"/>
          <w:lang w:val="es-ES" w:eastAsia="es-ES"/>
        </w:rPr>
        <w:t>] Con un concepto similar, los nuevos reguladores superiores de InsR también pueden tener un beneficio clínico al mejorar la sensibilidad a la insulina y reducir la glucosa en sangre en la DM2. Con los informes de efectos adversos para las tiazolidinedionas (TZD) [ </w:t>
      </w:r>
      <w:hyperlink r:id="rId17" w:history="1">
        <w:r w:rsidRPr="00765031">
          <w:rPr>
            <w:rFonts w:ascii="Helvetica" w:eastAsia="Times New Roman" w:hAnsi="Helvetica" w:cs="Helvetica"/>
            <w:color w:val="336699"/>
            <w:sz w:val="18"/>
            <w:szCs w:val="18"/>
            <w:u w:val="single"/>
            <w:lang w:val="es-ES" w:eastAsia="es-ES"/>
          </w:rPr>
          <w:t>12</w:t>
        </w:r>
      </w:hyperlink>
      <w:r w:rsidRPr="00765031">
        <w:rPr>
          <w:rFonts w:ascii="Helvetica" w:eastAsia="Times New Roman" w:hAnsi="Helvetica" w:cs="Helvetica"/>
          <w:color w:val="333333"/>
          <w:sz w:val="18"/>
          <w:szCs w:val="18"/>
          <w:lang w:val="es-ES" w:eastAsia="es-ES"/>
        </w:rPr>
        <w:t> , </w:t>
      </w:r>
      <w:hyperlink r:id="rId18" w:history="1">
        <w:r w:rsidRPr="00765031">
          <w:rPr>
            <w:rFonts w:ascii="Helvetica" w:eastAsia="Times New Roman" w:hAnsi="Helvetica" w:cs="Helvetica"/>
            <w:color w:val="336699"/>
            <w:sz w:val="18"/>
            <w:szCs w:val="18"/>
            <w:u w:val="single"/>
            <w:lang w:val="es-ES" w:eastAsia="es-ES"/>
          </w:rPr>
          <w:t>13</w:t>
        </w:r>
      </w:hyperlink>
      <w:r w:rsidRPr="00765031">
        <w:rPr>
          <w:rFonts w:ascii="Helvetica" w:eastAsia="Times New Roman" w:hAnsi="Helvetica" w:cs="Helvetica"/>
          <w:color w:val="333333"/>
          <w:sz w:val="18"/>
          <w:szCs w:val="18"/>
          <w:lang w:val="es-ES" w:eastAsia="es-ES"/>
        </w:rPr>
        <w:t> ], los fármacos hipoglucémicos con nuevos objetivos son muy deseables.</w:t>
      </w:r>
    </w:p>
    <w:p w14:paraId="68E89E8B" w14:textId="77777777" w:rsidR="00765031" w:rsidRPr="00765031" w:rsidRDefault="00765031"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765031">
        <w:rPr>
          <w:rFonts w:ascii="Helvetica" w:eastAsia="Times New Roman" w:hAnsi="Helvetica" w:cs="Helvetica"/>
          <w:color w:val="333333"/>
          <w:sz w:val="18"/>
          <w:szCs w:val="18"/>
          <w:lang w:val="es-ES" w:eastAsia="es-ES"/>
        </w:rPr>
        <w:t>La berberina (BBR) es un compuesto natural y ha sido un medicamento sin receta para la diarrea en China desde la década de 1950 [ </w:t>
      </w:r>
      <w:hyperlink r:id="rId19" w:history="1">
        <w:r w:rsidRPr="00765031">
          <w:rPr>
            <w:rFonts w:ascii="Helvetica" w:eastAsia="Times New Roman" w:hAnsi="Helvetica" w:cs="Helvetica"/>
            <w:color w:val="336699"/>
            <w:sz w:val="18"/>
            <w:szCs w:val="18"/>
            <w:u w:val="single"/>
            <w:lang w:val="es-ES" w:eastAsia="es-ES"/>
          </w:rPr>
          <w:t>14</w:t>
        </w:r>
      </w:hyperlink>
      <w:r w:rsidRPr="00765031">
        <w:rPr>
          <w:rFonts w:ascii="Helvetica" w:eastAsia="Times New Roman" w:hAnsi="Helvetica" w:cs="Helvetica"/>
          <w:color w:val="333333"/>
          <w:sz w:val="18"/>
          <w:szCs w:val="18"/>
          <w:lang w:val="es-ES" w:eastAsia="es-ES"/>
        </w:rPr>
        <w:t> , </w:t>
      </w:r>
      <w:hyperlink r:id="rId20" w:history="1">
        <w:r w:rsidRPr="00765031">
          <w:rPr>
            <w:rFonts w:ascii="Helvetica" w:eastAsia="Times New Roman" w:hAnsi="Helvetica" w:cs="Helvetica"/>
            <w:color w:val="336699"/>
            <w:sz w:val="18"/>
            <w:szCs w:val="18"/>
            <w:u w:val="single"/>
            <w:lang w:val="es-ES" w:eastAsia="es-ES"/>
          </w:rPr>
          <w:t>15</w:t>
        </w:r>
      </w:hyperlink>
      <w:r w:rsidRPr="00765031">
        <w:rPr>
          <w:rFonts w:ascii="Helvetica" w:eastAsia="Times New Roman" w:hAnsi="Helvetica" w:cs="Helvetica"/>
          <w:color w:val="333333"/>
          <w:sz w:val="18"/>
          <w:szCs w:val="18"/>
          <w:lang w:val="es-ES" w:eastAsia="es-ES"/>
        </w:rPr>
        <w:t> , </w:t>
      </w:r>
      <w:hyperlink r:id="rId21" w:history="1">
        <w:r w:rsidRPr="00765031">
          <w:rPr>
            <w:rFonts w:ascii="Helvetica" w:eastAsia="Times New Roman" w:hAnsi="Helvetica" w:cs="Helvetica"/>
            <w:color w:val="336699"/>
            <w:sz w:val="18"/>
            <w:szCs w:val="18"/>
            <w:u w:val="single"/>
            <w:lang w:val="es-ES" w:eastAsia="es-ES"/>
          </w:rPr>
          <w:t>16</w:t>
        </w:r>
      </w:hyperlink>
      <w:r w:rsidRPr="00765031">
        <w:rPr>
          <w:rFonts w:ascii="Helvetica" w:eastAsia="Times New Roman" w:hAnsi="Helvetica" w:cs="Helvetica"/>
          <w:color w:val="333333"/>
          <w:sz w:val="18"/>
          <w:szCs w:val="18"/>
          <w:lang w:val="es-ES" w:eastAsia="es-ES"/>
        </w:rPr>
        <w:t> ]. En 2004, encontramos que BBR es un fármaco prometedor para reducir el colesterol que aumenta la expresión del receptor de lipoproteínas de baja densidad a través de un mecanismo dependiente de la quinasa regulado por señal extracelular [ </w:t>
      </w:r>
      <w:hyperlink r:id="rId22" w:history="1">
        <w:r w:rsidRPr="00765031">
          <w:rPr>
            <w:rFonts w:ascii="Helvetica" w:eastAsia="Times New Roman" w:hAnsi="Helvetica" w:cs="Helvetica"/>
            <w:color w:val="336699"/>
            <w:sz w:val="18"/>
            <w:szCs w:val="18"/>
            <w:u w:val="single"/>
            <w:lang w:val="es-ES" w:eastAsia="es-ES"/>
          </w:rPr>
          <w:t>17</w:t>
        </w:r>
      </w:hyperlink>
      <w:r w:rsidRPr="00765031">
        <w:rPr>
          <w:rFonts w:ascii="Helvetica" w:eastAsia="Times New Roman" w:hAnsi="Helvetica" w:cs="Helvetica"/>
          <w:color w:val="333333"/>
          <w:sz w:val="18"/>
          <w:szCs w:val="18"/>
          <w:lang w:val="es-ES" w:eastAsia="es-ES"/>
        </w:rPr>
        <w:t> , </w:t>
      </w:r>
      <w:hyperlink r:id="rId23" w:history="1">
        <w:r w:rsidRPr="00765031">
          <w:rPr>
            <w:rFonts w:ascii="Helvetica" w:eastAsia="Times New Roman" w:hAnsi="Helvetica" w:cs="Helvetica"/>
            <w:color w:val="336699"/>
            <w:sz w:val="18"/>
            <w:szCs w:val="18"/>
            <w:u w:val="single"/>
            <w:lang w:val="es-ES" w:eastAsia="es-ES"/>
          </w:rPr>
          <w:t>18</w:t>
        </w:r>
      </w:hyperlink>
      <w:r w:rsidRPr="00765031">
        <w:rPr>
          <w:rFonts w:ascii="Helvetica" w:eastAsia="Times New Roman" w:hAnsi="Helvetica" w:cs="Helvetica"/>
          <w:color w:val="333333"/>
          <w:sz w:val="18"/>
          <w:szCs w:val="18"/>
          <w:lang w:val="es-ES" w:eastAsia="es-ES"/>
        </w:rPr>
        <w:t> , </w:t>
      </w:r>
      <w:hyperlink r:id="rId24" w:history="1">
        <w:r w:rsidRPr="00765031">
          <w:rPr>
            <w:rFonts w:ascii="Helvetica" w:eastAsia="Times New Roman" w:hAnsi="Helvetica" w:cs="Helvetica"/>
            <w:color w:val="336699"/>
            <w:sz w:val="18"/>
            <w:szCs w:val="18"/>
            <w:u w:val="single"/>
            <w:lang w:val="es-ES" w:eastAsia="es-ES"/>
          </w:rPr>
          <w:t>19</w:t>
        </w:r>
      </w:hyperlink>
      <w:r w:rsidRPr="00765031">
        <w:rPr>
          <w:rFonts w:ascii="Helvetica" w:eastAsia="Times New Roman" w:hAnsi="Helvetica" w:cs="Helvetica"/>
          <w:color w:val="333333"/>
          <w:sz w:val="18"/>
          <w:szCs w:val="18"/>
          <w:lang w:val="es-ES" w:eastAsia="es-ES"/>
        </w:rPr>
        <w:t> , </w:t>
      </w:r>
      <w:hyperlink r:id="rId25" w:history="1">
        <w:r w:rsidRPr="00765031">
          <w:rPr>
            <w:rFonts w:ascii="Helvetica" w:eastAsia="Times New Roman" w:hAnsi="Helvetica" w:cs="Helvetica"/>
            <w:color w:val="336699"/>
            <w:sz w:val="18"/>
            <w:szCs w:val="18"/>
            <w:u w:val="single"/>
            <w:lang w:val="es-ES" w:eastAsia="es-ES"/>
          </w:rPr>
          <w:t>20</w:t>
        </w:r>
      </w:hyperlink>
      <w:r w:rsidRPr="00765031">
        <w:rPr>
          <w:rFonts w:ascii="Helvetica" w:eastAsia="Times New Roman" w:hAnsi="Helvetica" w:cs="Helvetica"/>
          <w:color w:val="333333"/>
          <w:sz w:val="18"/>
          <w:szCs w:val="18"/>
          <w:lang w:val="es-ES" w:eastAsia="es-ES"/>
        </w:rPr>
        <w:t> , </w:t>
      </w:r>
      <w:hyperlink r:id="rId26" w:history="1">
        <w:r w:rsidRPr="00765031">
          <w:rPr>
            <w:rFonts w:ascii="Helvetica" w:eastAsia="Times New Roman" w:hAnsi="Helvetica" w:cs="Helvetica"/>
            <w:color w:val="336699"/>
            <w:sz w:val="18"/>
            <w:szCs w:val="18"/>
            <w:u w:val="single"/>
            <w:lang w:val="es-ES" w:eastAsia="es-ES"/>
          </w:rPr>
          <w:t>21</w:t>
        </w:r>
      </w:hyperlink>
      <w:r w:rsidRPr="00765031">
        <w:rPr>
          <w:rFonts w:ascii="Helvetica" w:eastAsia="Times New Roman" w:hAnsi="Helvetica" w:cs="Helvetica"/>
          <w:color w:val="333333"/>
          <w:sz w:val="18"/>
          <w:szCs w:val="18"/>
          <w:lang w:val="es-ES" w:eastAsia="es-ES"/>
        </w:rPr>
        <w:t> ]. Nuestro estudio reciente reveló que BBR también regula la expresión del gen InsR en el hígado y las células musculares [ </w:t>
      </w:r>
      <w:hyperlink r:id="rId27" w:history="1">
        <w:r w:rsidRPr="00765031">
          <w:rPr>
            <w:rFonts w:ascii="Helvetica" w:eastAsia="Times New Roman" w:hAnsi="Helvetica" w:cs="Helvetica"/>
            <w:color w:val="336699"/>
            <w:sz w:val="18"/>
            <w:szCs w:val="18"/>
            <w:u w:val="single"/>
            <w:lang w:val="es-ES" w:eastAsia="es-ES"/>
          </w:rPr>
          <w:t>22</w:t>
        </w:r>
      </w:hyperlink>
      <w:r w:rsidRPr="00765031">
        <w:rPr>
          <w:rFonts w:ascii="Helvetica" w:eastAsia="Times New Roman" w:hAnsi="Helvetica" w:cs="Helvetica"/>
          <w:color w:val="333333"/>
          <w:sz w:val="18"/>
          <w:szCs w:val="18"/>
          <w:lang w:val="es-ES" w:eastAsia="es-ES"/>
        </w:rPr>
        <w:t xml:space="preserve"> ]. A diferencia de su acción sobre el receptor de lipoproteínas de baja densidad, BBR aumenta la expresión de InsR a nivel transcripcional al estimular el promotor InsR; La activación de la proteína quinasa C es esencial para su actividad </w:t>
      </w:r>
      <w:r w:rsidRPr="00765031">
        <w:rPr>
          <w:rFonts w:ascii="Helvetica" w:eastAsia="Times New Roman" w:hAnsi="Helvetica" w:cs="Helvetica"/>
          <w:color w:val="333333"/>
          <w:sz w:val="18"/>
          <w:szCs w:val="18"/>
          <w:lang w:val="es-ES" w:eastAsia="es-ES"/>
        </w:rPr>
        <w:lastRenderedPageBreak/>
        <w:t>[ </w:t>
      </w:r>
      <w:hyperlink r:id="rId28" w:history="1">
        <w:r w:rsidRPr="00765031">
          <w:rPr>
            <w:rFonts w:ascii="Helvetica" w:eastAsia="Times New Roman" w:hAnsi="Helvetica" w:cs="Helvetica"/>
            <w:color w:val="336699"/>
            <w:sz w:val="18"/>
            <w:szCs w:val="18"/>
            <w:u w:val="single"/>
            <w:lang w:val="es-ES" w:eastAsia="es-ES"/>
          </w:rPr>
          <w:t>22</w:t>
        </w:r>
      </w:hyperlink>
      <w:r w:rsidRPr="00765031">
        <w:rPr>
          <w:rFonts w:ascii="Helvetica" w:eastAsia="Times New Roman" w:hAnsi="Helvetica" w:cs="Helvetica"/>
          <w:color w:val="333333"/>
          <w:sz w:val="18"/>
          <w:szCs w:val="18"/>
          <w:lang w:val="es-ES" w:eastAsia="es-ES"/>
        </w:rPr>
        <w:t> ] . Nuestros resultados apoyan el efecto hipoglucémico de BBR observado en pacientes con DM2 [ </w:t>
      </w:r>
      <w:hyperlink r:id="rId29" w:history="1">
        <w:r w:rsidRPr="00765031">
          <w:rPr>
            <w:rFonts w:ascii="Helvetica" w:eastAsia="Times New Roman" w:hAnsi="Helvetica" w:cs="Helvetica"/>
            <w:color w:val="336699"/>
            <w:sz w:val="18"/>
            <w:szCs w:val="18"/>
            <w:u w:val="single"/>
            <w:lang w:val="es-ES" w:eastAsia="es-ES"/>
          </w:rPr>
          <w:t>23</w:t>
        </w:r>
      </w:hyperlink>
      <w:r w:rsidRPr="00765031">
        <w:rPr>
          <w:rFonts w:ascii="Helvetica" w:eastAsia="Times New Roman" w:hAnsi="Helvetica" w:cs="Helvetica"/>
          <w:color w:val="333333"/>
          <w:sz w:val="18"/>
          <w:szCs w:val="18"/>
          <w:lang w:val="es-ES" w:eastAsia="es-ES"/>
        </w:rPr>
        <w:t> ] . El presente estudio une nuestro mecanismo de investigación con las observaciones clínicas.</w:t>
      </w:r>
    </w:p>
    <w:p w14:paraId="3F173381" w14:textId="77777777" w:rsidR="00765031" w:rsidRPr="00765031" w:rsidRDefault="00765031" w:rsidP="007C0944">
      <w:pPr>
        <w:shd w:val="clear" w:color="auto" w:fill="FFFFFF"/>
        <w:spacing w:after="45" w:line="375" w:lineRule="atLeast"/>
        <w:jc w:val="both"/>
        <w:outlineLvl w:val="1"/>
        <w:rPr>
          <w:rFonts w:ascii="Georgia" w:eastAsia="Times New Roman" w:hAnsi="Georgia" w:cs="Helvetica"/>
          <w:color w:val="333333"/>
          <w:sz w:val="27"/>
          <w:szCs w:val="27"/>
          <w:lang w:val="es-ES" w:eastAsia="es-ES"/>
        </w:rPr>
      </w:pPr>
      <w:r w:rsidRPr="00765031">
        <w:rPr>
          <w:rFonts w:ascii="Georgia" w:eastAsia="Times New Roman" w:hAnsi="Georgia" w:cs="Times New Roman"/>
          <w:color w:val="333333"/>
          <w:sz w:val="36"/>
          <w:szCs w:val="36"/>
          <w:lang w:val="es-ES" w:eastAsia="es-ES"/>
        </w:rPr>
        <w:t>Materiales y métodos</w:t>
      </w:r>
    </w:p>
    <w:p w14:paraId="781FC31D" w14:textId="77777777" w:rsidR="00765031" w:rsidRPr="00765031" w:rsidRDefault="00765031" w:rsidP="007C0944">
      <w:pPr>
        <w:pStyle w:val="Ttulo3"/>
        <w:shd w:val="clear" w:color="auto" w:fill="FFFFFF"/>
        <w:spacing w:before="0" w:after="45" w:line="270" w:lineRule="atLeast"/>
        <w:jc w:val="both"/>
        <w:rPr>
          <w:rFonts w:ascii="Georgia" w:eastAsia="Times New Roman" w:hAnsi="Georgia" w:cs="Times New Roman"/>
          <w:color w:val="333333"/>
          <w:sz w:val="27"/>
          <w:szCs w:val="27"/>
          <w:lang w:val="es-ES" w:eastAsia="es-ES"/>
        </w:rPr>
      </w:pPr>
      <w:r w:rsidRPr="00765031">
        <w:rPr>
          <w:rFonts w:ascii="Helvetica" w:eastAsia="Times New Roman" w:hAnsi="Helvetica" w:cs="Helvetica"/>
          <w:color w:val="333333"/>
          <w:sz w:val="18"/>
          <w:szCs w:val="18"/>
          <w:lang w:val="es-ES" w:eastAsia="es-ES"/>
        </w:rPr>
        <w:t>.</w:t>
      </w:r>
      <w:r w:rsidRPr="00765031">
        <w:rPr>
          <w:rFonts w:ascii="Georgia" w:eastAsia="Times New Roman" w:hAnsi="Georgia" w:cs="Times New Roman"/>
          <w:color w:val="333333"/>
          <w:sz w:val="27"/>
          <w:szCs w:val="27"/>
          <w:lang w:val="es-ES" w:eastAsia="es-ES"/>
        </w:rPr>
        <w:t xml:space="preserve"> Cultivo de células</w:t>
      </w:r>
    </w:p>
    <w:p w14:paraId="758D14E9" w14:textId="77777777" w:rsidR="00765031" w:rsidRDefault="00765031"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765031">
        <w:rPr>
          <w:rFonts w:ascii="Helvetica" w:eastAsia="Times New Roman" w:hAnsi="Helvetica" w:cs="Helvetica"/>
          <w:color w:val="333333"/>
          <w:sz w:val="18"/>
          <w:szCs w:val="18"/>
          <w:lang w:val="es-ES" w:eastAsia="es-ES"/>
        </w:rPr>
        <w:t>CEM, HCT-116, SW1990, HT1080, células 293T y las células hepáticas humanas transfectadas con el genoma completo del virus de la hepatitis B (VHB) (células HepG2.2.15) se mantuvieron en un medio esencial mínimo (</w:t>
      </w:r>
      <w:proofErr w:type="spellStart"/>
      <w:r w:rsidRPr="00765031">
        <w:rPr>
          <w:rFonts w:ascii="Helvetica" w:eastAsia="Times New Roman" w:hAnsi="Helvetica" w:cs="Helvetica"/>
          <w:color w:val="333333"/>
          <w:sz w:val="18"/>
          <w:szCs w:val="18"/>
          <w:lang w:val="es-ES" w:eastAsia="es-ES"/>
        </w:rPr>
        <w:t>Gibco</w:t>
      </w:r>
      <w:proofErr w:type="spellEnd"/>
      <w:r w:rsidRPr="00765031">
        <w:rPr>
          <w:rFonts w:ascii="Helvetica" w:eastAsia="Times New Roman" w:hAnsi="Helvetica" w:cs="Helvetica"/>
          <w:color w:val="333333"/>
          <w:sz w:val="18"/>
          <w:szCs w:val="18"/>
          <w:lang w:val="es-ES" w:eastAsia="es-ES"/>
        </w:rPr>
        <w:t>-Invitrogen, Grand Island, NY) que contiene 10% de suero fetal bovino y antibióticos. Las células se cultivaron en una atmósfera de 5% de CO </w:t>
      </w:r>
      <w:r w:rsidRPr="00765031">
        <w:rPr>
          <w:rFonts w:ascii="Helvetica" w:eastAsia="Times New Roman" w:hAnsi="Helvetica" w:cs="Helvetica"/>
          <w:color w:val="333333"/>
          <w:sz w:val="20"/>
          <w:szCs w:val="20"/>
          <w:vertAlign w:val="subscript"/>
          <w:lang w:val="es-ES" w:eastAsia="es-ES"/>
        </w:rPr>
        <w:t>2</w:t>
      </w:r>
      <w:r w:rsidRPr="00765031">
        <w:rPr>
          <w:rFonts w:ascii="Helvetica" w:eastAsia="Times New Roman" w:hAnsi="Helvetica" w:cs="Helvetica"/>
          <w:color w:val="333333"/>
          <w:sz w:val="18"/>
          <w:szCs w:val="18"/>
          <w:lang w:val="es-ES" w:eastAsia="es-ES"/>
        </w:rPr>
        <w:t xml:space="preserve"> a 37 ° C. Un día antes del tratamiento, las células se tripsinizaron y se les permitió crecer hasta un 80% de confluencia. Posteriormente, se añadieron a las células medios frescos suplementados con vehículo (dimetilsulfóxido [DMSO]) o BBR (Sigma Chemical, </w:t>
      </w:r>
      <w:proofErr w:type="spellStart"/>
      <w:r w:rsidRPr="00765031">
        <w:rPr>
          <w:rFonts w:ascii="Helvetica" w:eastAsia="Times New Roman" w:hAnsi="Helvetica" w:cs="Helvetica"/>
          <w:color w:val="333333"/>
          <w:sz w:val="18"/>
          <w:szCs w:val="18"/>
          <w:lang w:val="es-ES" w:eastAsia="es-ES"/>
        </w:rPr>
        <w:t>St</w:t>
      </w:r>
      <w:proofErr w:type="spellEnd"/>
      <w:r w:rsidRPr="00765031">
        <w:rPr>
          <w:rFonts w:ascii="Helvetica" w:eastAsia="Times New Roman" w:hAnsi="Helvetica" w:cs="Helvetica"/>
          <w:color w:val="333333"/>
          <w:sz w:val="18"/>
          <w:szCs w:val="18"/>
          <w:lang w:val="es-ES" w:eastAsia="es-ES"/>
        </w:rPr>
        <w:t xml:space="preserve"> Louis, MO) como se indica. Las células fueron tratadas durante 12 horas. Para los experimentos con estimulación con insulina, se agregaron 0.5 o 10 nmol / L de insulina humana (Sigma Chemical) a los medios; Las células fueron tratadas durante 15 minutos adicionales antes de la cosecha.</w:t>
      </w:r>
    </w:p>
    <w:p w14:paraId="406825B5" w14:textId="77777777" w:rsidR="00765031" w:rsidRPr="00765031" w:rsidRDefault="00765031" w:rsidP="007C0944">
      <w:pPr>
        <w:shd w:val="clear" w:color="auto" w:fill="FFFFFF"/>
        <w:spacing w:after="45" w:line="270" w:lineRule="atLeast"/>
        <w:jc w:val="both"/>
        <w:outlineLvl w:val="2"/>
        <w:rPr>
          <w:rFonts w:ascii="Georgia" w:eastAsia="Times New Roman" w:hAnsi="Georgia" w:cs="Times New Roman"/>
          <w:color w:val="333333"/>
          <w:sz w:val="27"/>
          <w:szCs w:val="27"/>
          <w:lang w:val="es-ES" w:eastAsia="es-ES"/>
        </w:rPr>
      </w:pPr>
      <w:r w:rsidRPr="00765031">
        <w:rPr>
          <w:rFonts w:ascii="Georgia" w:eastAsia="Times New Roman" w:hAnsi="Georgia" w:cs="Times New Roman"/>
          <w:color w:val="333333"/>
          <w:sz w:val="27"/>
          <w:szCs w:val="27"/>
          <w:lang w:val="es-ES" w:eastAsia="es-ES"/>
        </w:rPr>
        <w:t>Aislamiento de ARN y reacción en cadena de la polimerasa con transcriptasa inversa en tiempo real</w:t>
      </w:r>
    </w:p>
    <w:p w14:paraId="767B5C5B" w14:textId="77777777" w:rsidR="00765031" w:rsidRPr="00765031" w:rsidRDefault="00765031"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765031">
        <w:rPr>
          <w:rFonts w:ascii="Helvetica" w:eastAsia="Times New Roman" w:hAnsi="Helvetica" w:cs="Helvetica"/>
          <w:color w:val="333333"/>
          <w:sz w:val="18"/>
          <w:szCs w:val="18"/>
          <w:lang w:val="es-ES" w:eastAsia="es-ES"/>
        </w:rPr>
        <w:t xml:space="preserve">Los ARN totales se aislaron de las células usando el reactivo </w:t>
      </w:r>
      <w:proofErr w:type="spellStart"/>
      <w:r w:rsidRPr="00765031">
        <w:rPr>
          <w:rFonts w:ascii="Helvetica" w:eastAsia="Times New Roman" w:hAnsi="Helvetica" w:cs="Helvetica"/>
          <w:color w:val="333333"/>
          <w:sz w:val="18"/>
          <w:szCs w:val="18"/>
          <w:lang w:val="es-ES" w:eastAsia="es-ES"/>
        </w:rPr>
        <w:t>TRIzol</w:t>
      </w:r>
      <w:proofErr w:type="spellEnd"/>
      <w:r w:rsidRPr="00765031">
        <w:rPr>
          <w:rFonts w:ascii="Helvetica" w:eastAsia="Times New Roman" w:hAnsi="Helvetica" w:cs="Helvetica"/>
          <w:color w:val="333333"/>
          <w:sz w:val="18"/>
          <w:szCs w:val="18"/>
          <w:lang w:val="es-ES" w:eastAsia="es-ES"/>
        </w:rPr>
        <w:t xml:space="preserve"> (Invitrogen, Carlsbad, CA) de acuerdo con el protocolo. Para la transcripción inversa, se usó 1 </w:t>
      </w:r>
      <w:r w:rsidRPr="00765031">
        <w:rPr>
          <w:rFonts w:ascii="Helvetica" w:eastAsia="Times New Roman" w:hAnsi="Helvetica" w:cs="Helvetica"/>
          <w:i/>
          <w:iCs/>
          <w:color w:val="333333"/>
          <w:sz w:val="18"/>
          <w:szCs w:val="18"/>
          <w:lang w:val="es-ES" w:eastAsia="es-ES"/>
        </w:rPr>
        <w:t>μ</w:t>
      </w:r>
      <w:r w:rsidRPr="00765031">
        <w:rPr>
          <w:rFonts w:ascii="Helvetica" w:eastAsia="Times New Roman" w:hAnsi="Helvetica" w:cs="Helvetica"/>
          <w:color w:val="333333"/>
          <w:sz w:val="18"/>
          <w:szCs w:val="18"/>
          <w:lang w:val="es-ES" w:eastAsia="es-ES"/>
        </w:rPr>
        <w:t> g de ARN total de cada muestra como plantilla en un sistema de reacción de 20 </w:t>
      </w:r>
      <w:r w:rsidRPr="00765031">
        <w:rPr>
          <w:rFonts w:ascii="Helvetica" w:eastAsia="Times New Roman" w:hAnsi="Helvetica" w:cs="Helvetica"/>
          <w:i/>
          <w:iCs/>
          <w:color w:val="333333"/>
          <w:sz w:val="18"/>
          <w:szCs w:val="18"/>
          <w:lang w:val="es-ES" w:eastAsia="es-ES"/>
        </w:rPr>
        <w:t>μ</w:t>
      </w:r>
      <w:r w:rsidRPr="00765031">
        <w:rPr>
          <w:rFonts w:ascii="Helvetica" w:eastAsia="Times New Roman" w:hAnsi="Helvetica" w:cs="Helvetica"/>
          <w:color w:val="333333"/>
          <w:sz w:val="18"/>
          <w:szCs w:val="18"/>
          <w:lang w:val="es-ES" w:eastAsia="es-ES"/>
        </w:rPr>
        <w:t xml:space="preserve"> L que contenía cebadores aleatorios y la transcriptasa inversa del virus de la mieloblastosis aviar (AMV) (Promega, Madison, WI). Las reacciones de transcripción inversa se realizaron a 42 ° C durante 20 minutos y luego se inactivaron a 95 ° C durante 5 minutos. La reacción en cadena cuantitativa en tiempo real de la polimerasa (PCR) se realizó utilizando el sistema de PCR en tiempo real </w:t>
      </w:r>
      <w:proofErr w:type="spellStart"/>
      <w:r w:rsidRPr="00765031">
        <w:rPr>
          <w:rFonts w:ascii="Helvetica" w:eastAsia="Times New Roman" w:hAnsi="Helvetica" w:cs="Helvetica"/>
          <w:color w:val="333333"/>
          <w:sz w:val="18"/>
          <w:szCs w:val="18"/>
          <w:lang w:val="es-ES" w:eastAsia="es-ES"/>
        </w:rPr>
        <w:t>Applied</w:t>
      </w:r>
      <w:proofErr w:type="spellEnd"/>
      <w:r w:rsidRPr="00765031">
        <w:rPr>
          <w:rFonts w:ascii="Helvetica" w:eastAsia="Times New Roman" w:hAnsi="Helvetica" w:cs="Helvetica"/>
          <w:color w:val="333333"/>
          <w:sz w:val="18"/>
          <w:szCs w:val="18"/>
          <w:lang w:val="es-ES" w:eastAsia="es-ES"/>
        </w:rPr>
        <w:t xml:space="preserve"> </w:t>
      </w:r>
      <w:proofErr w:type="spellStart"/>
      <w:r w:rsidRPr="00765031">
        <w:rPr>
          <w:rFonts w:ascii="Helvetica" w:eastAsia="Times New Roman" w:hAnsi="Helvetica" w:cs="Helvetica"/>
          <w:color w:val="333333"/>
          <w:sz w:val="18"/>
          <w:szCs w:val="18"/>
          <w:lang w:val="es-ES" w:eastAsia="es-ES"/>
        </w:rPr>
        <w:t>Biosystems</w:t>
      </w:r>
      <w:proofErr w:type="spellEnd"/>
      <w:r w:rsidRPr="00765031">
        <w:rPr>
          <w:rFonts w:ascii="Helvetica" w:eastAsia="Times New Roman" w:hAnsi="Helvetica" w:cs="Helvetica"/>
          <w:color w:val="333333"/>
          <w:sz w:val="18"/>
          <w:szCs w:val="18"/>
          <w:lang w:val="es-ES" w:eastAsia="es-ES"/>
        </w:rPr>
        <w:t xml:space="preserve"> 7500 (</w:t>
      </w:r>
      <w:proofErr w:type="spellStart"/>
      <w:r w:rsidRPr="00765031">
        <w:rPr>
          <w:rFonts w:ascii="Helvetica" w:eastAsia="Times New Roman" w:hAnsi="Helvetica" w:cs="Helvetica"/>
          <w:color w:val="333333"/>
          <w:sz w:val="18"/>
          <w:szCs w:val="18"/>
          <w:lang w:val="es-ES" w:eastAsia="es-ES"/>
        </w:rPr>
        <w:t>Applied</w:t>
      </w:r>
      <w:proofErr w:type="spellEnd"/>
      <w:r w:rsidRPr="00765031">
        <w:rPr>
          <w:rFonts w:ascii="Helvetica" w:eastAsia="Times New Roman" w:hAnsi="Helvetica" w:cs="Helvetica"/>
          <w:color w:val="333333"/>
          <w:sz w:val="18"/>
          <w:szCs w:val="18"/>
          <w:lang w:val="es-ES" w:eastAsia="es-ES"/>
        </w:rPr>
        <w:t xml:space="preserve"> </w:t>
      </w:r>
      <w:proofErr w:type="spellStart"/>
      <w:r w:rsidRPr="00765031">
        <w:rPr>
          <w:rFonts w:ascii="Helvetica" w:eastAsia="Times New Roman" w:hAnsi="Helvetica" w:cs="Helvetica"/>
          <w:color w:val="333333"/>
          <w:sz w:val="18"/>
          <w:szCs w:val="18"/>
          <w:lang w:val="es-ES" w:eastAsia="es-ES"/>
        </w:rPr>
        <w:t>Biosystems</w:t>
      </w:r>
      <w:proofErr w:type="spellEnd"/>
      <w:r w:rsidRPr="00765031">
        <w:rPr>
          <w:rFonts w:ascii="Helvetica" w:eastAsia="Times New Roman" w:hAnsi="Helvetica" w:cs="Helvetica"/>
          <w:color w:val="333333"/>
          <w:sz w:val="18"/>
          <w:szCs w:val="18"/>
          <w:lang w:val="es-ES" w:eastAsia="es-ES"/>
        </w:rPr>
        <w:t>, Foster City, CA) como se describió anteriormente [ </w:t>
      </w:r>
      <w:hyperlink r:id="rId30" w:history="1">
        <w:r w:rsidRPr="00765031">
          <w:rPr>
            <w:rFonts w:ascii="Helvetica" w:eastAsia="Times New Roman" w:hAnsi="Helvetica" w:cs="Helvetica"/>
            <w:color w:val="336699"/>
            <w:sz w:val="18"/>
            <w:szCs w:val="18"/>
            <w:u w:val="single"/>
            <w:lang w:val="es-ES" w:eastAsia="es-ES"/>
          </w:rPr>
          <w:t>22</w:t>
        </w:r>
      </w:hyperlink>
      <w:r w:rsidRPr="00765031">
        <w:rPr>
          <w:rFonts w:ascii="Helvetica" w:eastAsia="Times New Roman" w:hAnsi="Helvetica" w:cs="Helvetica"/>
          <w:color w:val="333333"/>
          <w:sz w:val="18"/>
          <w:szCs w:val="18"/>
          <w:lang w:val="es-ES" w:eastAsia="es-ES"/>
        </w:rPr>
        <w:t> ]. Cada experimento se repitió al menos 3 veces. Se usó la deshidrogenasa de gliceraldehído-3-fosfato (GAPDH) como control interno; Los niveles de expresión normalizados de ARN mensajero InsR (ARNm) se representaron como pliegue del tratamiento del vehículo, que se designó como 1.</w:t>
      </w:r>
    </w:p>
    <w:p w14:paraId="7592F376" w14:textId="77777777" w:rsidR="00765031" w:rsidRPr="00765031" w:rsidRDefault="00765031" w:rsidP="007C0944">
      <w:pPr>
        <w:shd w:val="clear" w:color="auto" w:fill="FFFFFF"/>
        <w:spacing w:after="45" w:line="270" w:lineRule="atLeast"/>
        <w:jc w:val="both"/>
        <w:outlineLvl w:val="2"/>
        <w:rPr>
          <w:rFonts w:ascii="Georgia" w:eastAsia="Times New Roman" w:hAnsi="Georgia" w:cs="Times New Roman"/>
          <w:color w:val="333333"/>
          <w:sz w:val="27"/>
          <w:szCs w:val="27"/>
          <w:lang w:val="es-ES" w:eastAsia="es-ES"/>
        </w:rPr>
      </w:pPr>
      <w:r w:rsidRPr="00765031">
        <w:rPr>
          <w:rFonts w:ascii="Georgia" w:eastAsia="Times New Roman" w:hAnsi="Georgia" w:cs="Times New Roman"/>
          <w:color w:val="333333"/>
          <w:sz w:val="27"/>
          <w:szCs w:val="27"/>
          <w:lang w:val="es-ES" w:eastAsia="es-ES"/>
        </w:rPr>
        <w:t>Citometría de flujo</w:t>
      </w:r>
    </w:p>
    <w:p w14:paraId="2192DEFE" w14:textId="77777777" w:rsidR="00765031" w:rsidRPr="00765031" w:rsidRDefault="00765031"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765031">
        <w:rPr>
          <w:rFonts w:ascii="Helvetica" w:eastAsia="Times New Roman" w:hAnsi="Helvetica" w:cs="Helvetica"/>
          <w:color w:val="333333"/>
          <w:sz w:val="18"/>
          <w:szCs w:val="18"/>
          <w:lang w:val="es-ES" w:eastAsia="es-ES"/>
        </w:rPr>
        <w:t>Después del tratamiento, las células se recogieron y se fijaron en paraformaldehído al 2% a temperatura ambiente durante 30 minutos. Después del bloqueo, las células se incubaron en hielo durante 1 hora con un anticuerpo monoclonal de ratón contra la subunidad </w:t>
      </w:r>
      <w:r w:rsidRPr="00765031">
        <w:rPr>
          <w:rFonts w:ascii="Helvetica" w:eastAsia="Times New Roman" w:hAnsi="Helvetica" w:cs="Helvetica"/>
          <w:i/>
          <w:iCs/>
          <w:color w:val="333333"/>
          <w:sz w:val="18"/>
          <w:szCs w:val="18"/>
          <w:lang w:val="es-ES" w:eastAsia="es-ES"/>
        </w:rPr>
        <w:t>β</w:t>
      </w:r>
      <w:r w:rsidRPr="00765031">
        <w:rPr>
          <w:rFonts w:ascii="Helvetica" w:eastAsia="Times New Roman" w:hAnsi="Helvetica" w:cs="Helvetica"/>
          <w:color w:val="333333"/>
          <w:sz w:val="18"/>
          <w:szCs w:val="18"/>
          <w:lang w:val="es-ES" w:eastAsia="es-ES"/>
        </w:rPr>
        <w:t xml:space="preserve"> de InsR (Santa Cruz </w:t>
      </w:r>
      <w:proofErr w:type="spellStart"/>
      <w:r w:rsidRPr="00765031">
        <w:rPr>
          <w:rFonts w:ascii="Helvetica" w:eastAsia="Times New Roman" w:hAnsi="Helvetica" w:cs="Helvetica"/>
          <w:color w:val="333333"/>
          <w:sz w:val="18"/>
          <w:szCs w:val="18"/>
          <w:lang w:val="es-ES" w:eastAsia="es-ES"/>
        </w:rPr>
        <w:t>Biotechnology</w:t>
      </w:r>
      <w:proofErr w:type="spellEnd"/>
      <w:r w:rsidRPr="00765031">
        <w:rPr>
          <w:rFonts w:ascii="Helvetica" w:eastAsia="Times New Roman" w:hAnsi="Helvetica" w:cs="Helvetica"/>
          <w:color w:val="333333"/>
          <w:sz w:val="18"/>
          <w:szCs w:val="18"/>
          <w:lang w:val="es-ES" w:eastAsia="es-ES"/>
        </w:rPr>
        <w:t xml:space="preserve">, Santa Cruz, CA) con una dilución de 1: 100. Se usó inmunoglobulina G de ratón normal (IgG) como control para la tinción de fondo. Posteriormente, las células se lavaron y se tiñeron en hielo durante 30 minutos con una IgG </w:t>
      </w:r>
      <w:proofErr w:type="spellStart"/>
      <w:r w:rsidRPr="00765031">
        <w:rPr>
          <w:rFonts w:ascii="Helvetica" w:eastAsia="Times New Roman" w:hAnsi="Helvetica" w:cs="Helvetica"/>
          <w:color w:val="333333"/>
          <w:sz w:val="18"/>
          <w:szCs w:val="18"/>
          <w:lang w:val="es-ES" w:eastAsia="es-ES"/>
        </w:rPr>
        <w:t>anti-ratón</w:t>
      </w:r>
      <w:proofErr w:type="spellEnd"/>
      <w:r w:rsidRPr="00765031">
        <w:rPr>
          <w:rFonts w:ascii="Helvetica" w:eastAsia="Times New Roman" w:hAnsi="Helvetica" w:cs="Helvetica"/>
          <w:color w:val="333333"/>
          <w:sz w:val="18"/>
          <w:szCs w:val="18"/>
          <w:lang w:val="es-ES" w:eastAsia="es-ES"/>
        </w:rPr>
        <w:t xml:space="preserve"> de cabra conjugada con isotiocianato de fluoresceína (Santa Cruz) con una dilución de 1: 200. Las intensidades fluorescentes en la superficie celular se analizaron con un sistema </w:t>
      </w:r>
      <w:proofErr w:type="spellStart"/>
      <w:r w:rsidRPr="00765031">
        <w:rPr>
          <w:rFonts w:ascii="Helvetica" w:eastAsia="Times New Roman" w:hAnsi="Helvetica" w:cs="Helvetica"/>
          <w:color w:val="333333"/>
          <w:sz w:val="18"/>
          <w:szCs w:val="18"/>
          <w:lang w:val="es-ES" w:eastAsia="es-ES"/>
        </w:rPr>
        <w:t>FACSCalibur</w:t>
      </w:r>
      <w:proofErr w:type="spellEnd"/>
      <w:r w:rsidRPr="00765031">
        <w:rPr>
          <w:rFonts w:ascii="Helvetica" w:eastAsia="Times New Roman" w:hAnsi="Helvetica" w:cs="Helvetica"/>
          <w:color w:val="333333"/>
          <w:sz w:val="18"/>
          <w:szCs w:val="18"/>
          <w:lang w:val="es-ES" w:eastAsia="es-ES"/>
        </w:rPr>
        <w:t xml:space="preserve"> (BD </w:t>
      </w:r>
      <w:proofErr w:type="spellStart"/>
      <w:r w:rsidRPr="00765031">
        <w:rPr>
          <w:rFonts w:ascii="Helvetica" w:eastAsia="Times New Roman" w:hAnsi="Helvetica" w:cs="Helvetica"/>
          <w:color w:val="333333"/>
          <w:sz w:val="18"/>
          <w:szCs w:val="18"/>
          <w:lang w:val="es-ES" w:eastAsia="es-ES"/>
        </w:rPr>
        <w:t>Biosciences</w:t>
      </w:r>
      <w:proofErr w:type="spellEnd"/>
      <w:r w:rsidRPr="00765031">
        <w:rPr>
          <w:rFonts w:ascii="Helvetica" w:eastAsia="Times New Roman" w:hAnsi="Helvetica" w:cs="Helvetica"/>
          <w:color w:val="333333"/>
          <w:sz w:val="18"/>
          <w:szCs w:val="18"/>
          <w:lang w:val="es-ES" w:eastAsia="es-ES"/>
        </w:rPr>
        <w:t>, San Jose, CA).</w:t>
      </w:r>
    </w:p>
    <w:p w14:paraId="1A818A1F" w14:textId="77777777" w:rsidR="00765031" w:rsidRPr="00765031" w:rsidRDefault="00765031" w:rsidP="007C0944">
      <w:pPr>
        <w:shd w:val="clear" w:color="auto" w:fill="FFFFFF"/>
        <w:spacing w:after="45" w:line="270" w:lineRule="atLeast"/>
        <w:jc w:val="both"/>
        <w:outlineLvl w:val="2"/>
        <w:rPr>
          <w:rFonts w:ascii="Georgia" w:eastAsia="Times New Roman" w:hAnsi="Georgia" w:cs="Times New Roman"/>
          <w:color w:val="333333"/>
          <w:sz w:val="27"/>
          <w:szCs w:val="27"/>
          <w:lang w:val="es-ES" w:eastAsia="es-ES"/>
        </w:rPr>
      </w:pPr>
      <w:r w:rsidRPr="00765031">
        <w:rPr>
          <w:rFonts w:ascii="Georgia" w:eastAsia="Times New Roman" w:hAnsi="Georgia" w:cs="Times New Roman"/>
          <w:color w:val="333333"/>
          <w:sz w:val="27"/>
          <w:szCs w:val="27"/>
          <w:lang w:val="es-ES" w:eastAsia="es-ES"/>
        </w:rPr>
        <w:t xml:space="preserve">Western </w:t>
      </w:r>
      <w:proofErr w:type="spellStart"/>
      <w:r w:rsidRPr="00765031">
        <w:rPr>
          <w:rFonts w:ascii="Georgia" w:eastAsia="Times New Roman" w:hAnsi="Georgia" w:cs="Times New Roman"/>
          <w:color w:val="333333"/>
          <w:sz w:val="27"/>
          <w:szCs w:val="27"/>
          <w:lang w:val="es-ES" w:eastAsia="es-ES"/>
        </w:rPr>
        <w:t>blot</w:t>
      </w:r>
      <w:proofErr w:type="spellEnd"/>
    </w:p>
    <w:p w14:paraId="769C848D" w14:textId="77777777" w:rsidR="00765031" w:rsidRPr="00765031" w:rsidRDefault="00765031"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765031">
        <w:rPr>
          <w:rFonts w:ascii="Helvetica" w:eastAsia="Times New Roman" w:hAnsi="Helvetica" w:cs="Helvetica"/>
          <w:color w:val="333333"/>
          <w:sz w:val="18"/>
          <w:szCs w:val="18"/>
          <w:lang w:val="es-ES" w:eastAsia="es-ES"/>
        </w:rPr>
        <w:t>Las células se lisaron y las proteínas se extrajeron como se describió anteriormente [ </w:t>
      </w:r>
      <w:hyperlink r:id="rId31" w:history="1">
        <w:r w:rsidRPr="00765031">
          <w:rPr>
            <w:rFonts w:ascii="Helvetica" w:eastAsia="Times New Roman" w:hAnsi="Helvetica" w:cs="Helvetica"/>
            <w:color w:val="336699"/>
            <w:sz w:val="18"/>
            <w:szCs w:val="18"/>
            <w:u w:val="single"/>
            <w:lang w:val="es-ES" w:eastAsia="es-ES"/>
          </w:rPr>
          <w:t>17</w:t>
        </w:r>
      </w:hyperlink>
      <w:r w:rsidRPr="00765031">
        <w:rPr>
          <w:rFonts w:ascii="Helvetica" w:eastAsia="Times New Roman" w:hAnsi="Helvetica" w:cs="Helvetica"/>
          <w:color w:val="333333"/>
          <w:sz w:val="18"/>
          <w:szCs w:val="18"/>
          <w:lang w:val="es-ES" w:eastAsia="es-ES"/>
        </w:rPr>
        <w:t xml:space="preserve"> ] . Las muestras de proteínas se sometieron a electroforesis en gel de poliacrilamida con </w:t>
      </w:r>
      <w:proofErr w:type="spellStart"/>
      <w:r w:rsidRPr="00765031">
        <w:rPr>
          <w:rFonts w:ascii="Helvetica" w:eastAsia="Times New Roman" w:hAnsi="Helvetica" w:cs="Helvetica"/>
          <w:color w:val="333333"/>
          <w:sz w:val="18"/>
          <w:szCs w:val="18"/>
          <w:lang w:val="es-ES" w:eastAsia="es-ES"/>
        </w:rPr>
        <w:t>dodecil</w:t>
      </w:r>
      <w:proofErr w:type="spellEnd"/>
      <w:r w:rsidRPr="00765031">
        <w:rPr>
          <w:rFonts w:ascii="Helvetica" w:eastAsia="Times New Roman" w:hAnsi="Helvetica" w:cs="Helvetica"/>
          <w:color w:val="333333"/>
          <w:sz w:val="18"/>
          <w:szCs w:val="18"/>
          <w:lang w:val="es-ES" w:eastAsia="es-ES"/>
        </w:rPr>
        <w:t xml:space="preserve"> sulfato de sodio y se transfirieron a membranas de difluoruro de </w:t>
      </w:r>
      <w:proofErr w:type="spellStart"/>
      <w:r w:rsidRPr="00765031">
        <w:rPr>
          <w:rFonts w:ascii="Helvetica" w:eastAsia="Times New Roman" w:hAnsi="Helvetica" w:cs="Helvetica"/>
          <w:color w:val="333333"/>
          <w:sz w:val="18"/>
          <w:szCs w:val="18"/>
          <w:lang w:val="es-ES" w:eastAsia="es-ES"/>
        </w:rPr>
        <w:t>polivinilideno</w:t>
      </w:r>
      <w:proofErr w:type="spellEnd"/>
      <w:r w:rsidRPr="00765031">
        <w:rPr>
          <w:rFonts w:ascii="Helvetica" w:eastAsia="Times New Roman" w:hAnsi="Helvetica" w:cs="Helvetica"/>
          <w:color w:val="333333"/>
          <w:sz w:val="18"/>
          <w:szCs w:val="18"/>
          <w:lang w:val="es-ES" w:eastAsia="es-ES"/>
        </w:rPr>
        <w:t xml:space="preserve"> (</w:t>
      </w:r>
      <w:proofErr w:type="spellStart"/>
      <w:r w:rsidRPr="00765031">
        <w:rPr>
          <w:rFonts w:ascii="Helvetica" w:eastAsia="Times New Roman" w:hAnsi="Helvetica" w:cs="Helvetica"/>
          <w:color w:val="333333"/>
          <w:sz w:val="18"/>
          <w:szCs w:val="18"/>
          <w:lang w:val="es-ES" w:eastAsia="es-ES"/>
        </w:rPr>
        <w:t>Amersham</w:t>
      </w:r>
      <w:proofErr w:type="spellEnd"/>
      <w:r w:rsidRPr="00765031">
        <w:rPr>
          <w:rFonts w:ascii="Helvetica" w:eastAsia="Times New Roman" w:hAnsi="Helvetica" w:cs="Helvetica"/>
          <w:color w:val="333333"/>
          <w:sz w:val="18"/>
          <w:szCs w:val="18"/>
          <w:lang w:val="es-ES" w:eastAsia="es-ES"/>
        </w:rPr>
        <w:t xml:space="preserve"> </w:t>
      </w:r>
      <w:proofErr w:type="spellStart"/>
      <w:r w:rsidRPr="00765031">
        <w:rPr>
          <w:rFonts w:ascii="Helvetica" w:eastAsia="Times New Roman" w:hAnsi="Helvetica" w:cs="Helvetica"/>
          <w:color w:val="333333"/>
          <w:sz w:val="18"/>
          <w:szCs w:val="18"/>
          <w:lang w:val="es-ES" w:eastAsia="es-ES"/>
        </w:rPr>
        <w:t>Pharmacia</w:t>
      </w:r>
      <w:proofErr w:type="spellEnd"/>
      <w:r w:rsidRPr="00765031">
        <w:rPr>
          <w:rFonts w:ascii="Helvetica" w:eastAsia="Times New Roman" w:hAnsi="Helvetica" w:cs="Helvetica"/>
          <w:color w:val="333333"/>
          <w:sz w:val="18"/>
          <w:szCs w:val="18"/>
          <w:lang w:val="es-ES" w:eastAsia="es-ES"/>
        </w:rPr>
        <w:t xml:space="preserve"> Biotech, Uppsala, Suecia) mediante una célula de transferencia semiseca (Bio-Rad, </w:t>
      </w:r>
      <w:proofErr w:type="spellStart"/>
      <w:r w:rsidRPr="00765031">
        <w:rPr>
          <w:rFonts w:ascii="Helvetica" w:eastAsia="Times New Roman" w:hAnsi="Helvetica" w:cs="Helvetica"/>
          <w:color w:val="333333"/>
          <w:sz w:val="18"/>
          <w:szCs w:val="18"/>
          <w:lang w:val="es-ES" w:eastAsia="es-ES"/>
        </w:rPr>
        <w:t>Hercules</w:t>
      </w:r>
      <w:proofErr w:type="spellEnd"/>
      <w:r w:rsidRPr="00765031">
        <w:rPr>
          <w:rFonts w:ascii="Helvetica" w:eastAsia="Times New Roman" w:hAnsi="Helvetica" w:cs="Helvetica"/>
          <w:color w:val="333333"/>
          <w:sz w:val="18"/>
          <w:szCs w:val="18"/>
          <w:lang w:val="es-ES" w:eastAsia="es-ES"/>
        </w:rPr>
        <w:t>, CA). Para la detección de la expresión de la proteína InsR, se sondeó la membrana con un anticuerpo monoclonal de ratón contra el </w:t>
      </w:r>
      <w:r w:rsidRPr="00765031">
        <w:rPr>
          <w:rFonts w:ascii="Helvetica" w:eastAsia="Times New Roman" w:hAnsi="Helvetica" w:cs="Helvetica"/>
          <w:i/>
          <w:iCs/>
          <w:color w:val="333333"/>
          <w:sz w:val="18"/>
          <w:szCs w:val="18"/>
          <w:lang w:val="es-ES" w:eastAsia="es-ES"/>
        </w:rPr>
        <w:t>β</w:t>
      </w:r>
      <w:r w:rsidRPr="00765031">
        <w:rPr>
          <w:rFonts w:ascii="Helvetica" w:eastAsia="Times New Roman" w:hAnsi="Helvetica" w:cs="Helvetica"/>
          <w:color w:val="333333"/>
          <w:sz w:val="18"/>
          <w:szCs w:val="18"/>
          <w:lang w:val="es-ES" w:eastAsia="es-ES"/>
        </w:rPr>
        <w:t xml:space="preserve">-subunidad de InsR (Santa Cruz </w:t>
      </w:r>
      <w:proofErr w:type="spellStart"/>
      <w:r w:rsidRPr="00765031">
        <w:rPr>
          <w:rFonts w:ascii="Helvetica" w:eastAsia="Times New Roman" w:hAnsi="Helvetica" w:cs="Helvetica"/>
          <w:color w:val="333333"/>
          <w:sz w:val="18"/>
          <w:szCs w:val="18"/>
          <w:lang w:val="es-ES" w:eastAsia="es-ES"/>
        </w:rPr>
        <w:t>Biotechnology</w:t>
      </w:r>
      <w:proofErr w:type="spellEnd"/>
      <w:r w:rsidRPr="00765031">
        <w:rPr>
          <w:rFonts w:ascii="Helvetica" w:eastAsia="Times New Roman" w:hAnsi="Helvetica" w:cs="Helvetica"/>
          <w:color w:val="333333"/>
          <w:sz w:val="18"/>
          <w:szCs w:val="18"/>
          <w:lang w:val="es-ES" w:eastAsia="es-ES"/>
        </w:rPr>
        <w:t xml:space="preserve">), con GAPDH como control interno. Después de la incubación con anticuerpos secundarios apropiados conjugados con peroxidasa (Santa Cruz </w:t>
      </w:r>
      <w:proofErr w:type="spellStart"/>
      <w:r w:rsidRPr="00765031">
        <w:rPr>
          <w:rFonts w:ascii="Helvetica" w:eastAsia="Times New Roman" w:hAnsi="Helvetica" w:cs="Helvetica"/>
          <w:color w:val="333333"/>
          <w:sz w:val="18"/>
          <w:szCs w:val="18"/>
          <w:lang w:val="es-ES" w:eastAsia="es-ES"/>
        </w:rPr>
        <w:t>Biotechnology</w:t>
      </w:r>
      <w:proofErr w:type="spellEnd"/>
      <w:r w:rsidRPr="00765031">
        <w:rPr>
          <w:rFonts w:ascii="Helvetica" w:eastAsia="Times New Roman" w:hAnsi="Helvetica" w:cs="Helvetica"/>
          <w:color w:val="333333"/>
          <w:sz w:val="18"/>
          <w:szCs w:val="18"/>
          <w:lang w:val="es-ES" w:eastAsia="es-ES"/>
        </w:rPr>
        <w:t>), las señales se visualizaron mediante el Kit de quimioluminiscencia (</w:t>
      </w:r>
      <w:proofErr w:type="spellStart"/>
      <w:r w:rsidRPr="00765031">
        <w:rPr>
          <w:rFonts w:ascii="Helvetica" w:eastAsia="Times New Roman" w:hAnsi="Helvetica" w:cs="Helvetica"/>
          <w:color w:val="333333"/>
          <w:sz w:val="18"/>
          <w:szCs w:val="18"/>
          <w:lang w:val="es-ES" w:eastAsia="es-ES"/>
        </w:rPr>
        <w:t>Amersham</w:t>
      </w:r>
      <w:proofErr w:type="spellEnd"/>
      <w:r w:rsidRPr="00765031">
        <w:rPr>
          <w:rFonts w:ascii="Helvetica" w:eastAsia="Times New Roman" w:hAnsi="Helvetica" w:cs="Helvetica"/>
          <w:color w:val="333333"/>
          <w:sz w:val="18"/>
          <w:szCs w:val="18"/>
          <w:lang w:val="es-ES" w:eastAsia="es-ES"/>
        </w:rPr>
        <w:t xml:space="preserve"> </w:t>
      </w:r>
      <w:proofErr w:type="spellStart"/>
      <w:r w:rsidRPr="00765031">
        <w:rPr>
          <w:rFonts w:ascii="Helvetica" w:eastAsia="Times New Roman" w:hAnsi="Helvetica" w:cs="Helvetica"/>
          <w:color w:val="333333"/>
          <w:sz w:val="18"/>
          <w:szCs w:val="18"/>
          <w:lang w:val="es-ES" w:eastAsia="es-ES"/>
        </w:rPr>
        <w:t>Pharmacia</w:t>
      </w:r>
      <w:proofErr w:type="spellEnd"/>
      <w:r w:rsidRPr="00765031">
        <w:rPr>
          <w:rFonts w:ascii="Helvetica" w:eastAsia="Times New Roman" w:hAnsi="Helvetica" w:cs="Helvetica"/>
          <w:color w:val="333333"/>
          <w:sz w:val="18"/>
          <w:szCs w:val="18"/>
          <w:lang w:val="es-ES" w:eastAsia="es-ES"/>
        </w:rPr>
        <w:t xml:space="preserve"> Biotech). Luego se despojaron las membranas; Se usó un anticuerpo monoclonal de conejo específico para el Tyr1361 fosforilado (Cell Signaling </w:t>
      </w:r>
      <w:proofErr w:type="spellStart"/>
      <w:r w:rsidRPr="00765031">
        <w:rPr>
          <w:rFonts w:ascii="Helvetica" w:eastAsia="Times New Roman" w:hAnsi="Helvetica" w:cs="Helvetica"/>
          <w:color w:val="333333"/>
          <w:sz w:val="18"/>
          <w:szCs w:val="18"/>
          <w:lang w:val="es-ES" w:eastAsia="es-ES"/>
        </w:rPr>
        <w:t>Technology</w:t>
      </w:r>
      <w:proofErr w:type="spellEnd"/>
      <w:r w:rsidRPr="00765031">
        <w:rPr>
          <w:rFonts w:ascii="Helvetica" w:eastAsia="Times New Roman" w:hAnsi="Helvetica" w:cs="Helvetica"/>
          <w:color w:val="333333"/>
          <w:sz w:val="18"/>
          <w:szCs w:val="18"/>
          <w:lang w:val="es-ES" w:eastAsia="es-ES"/>
        </w:rPr>
        <w:t xml:space="preserve">, Danvers, MA) para examinar la fosforilación estimulada </w:t>
      </w:r>
      <w:r w:rsidRPr="00765031">
        <w:rPr>
          <w:rFonts w:ascii="Helvetica" w:eastAsia="Times New Roman" w:hAnsi="Helvetica" w:cs="Helvetica"/>
          <w:color w:val="333333"/>
          <w:sz w:val="18"/>
          <w:szCs w:val="18"/>
          <w:lang w:val="es-ES" w:eastAsia="es-ES"/>
        </w:rPr>
        <w:lastRenderedPageBreak/>
        <w:t>por insulina de la subunidad </w:t>
      </w:r>
      <w:r w:rsidRPr="00765031">
        <w:rPr>
          <w:rFonts w:ascii="Helvetica" w:eastAsia="Times New Roman" w:hAnsi="Helvetica" w:cs="Helvetica"/>
          <w:i/>
          <w:iCs/>
          <w:color w:val="333333"/>
          <w:sz w:val="18"/>
          <w:szCs w:val="18"/>
          <w:lang w:val="es-ES" w:eastAsia="es-ES"/>
        </w:rPr>
        <w:t>β</w:t>
      </w:r>
      <w:r w:rsidRPr="00765031">
        <w:rPr>
          <w:rFonts w:ascii="Helvetica" w:eastAsia="Times New Roman" w:hAnsi="Helvetica" w:cs="Helvetica"/>
          <w:color w:val="333333"/>
          <w:sz w:val="18"/>
          <w:szCs w:val="18"/>
          <w:lang w:val="es-ES" w:eastAsia="es-ES"/>
        </w:rPr>
        <w:t xml:space="preserve"> de </w:t>
      </w:r>
      <w:proofErr w:type="gramStart"/>
      <w:r w:rsidRPr="00765031">
        <w:rPr>
          <w:rFonts w:ascii="Helvetica" w:eastAsia="Times New Roman" w:hAnsi="Helvetica" w:cs="Helvetica"/>
          <w:color w:val="333333"/>
          <w:sz w:val="18"/>
          <w:szCs w:val="18"/>
          <w:lang w:val="es-ES" w:eastAsia="es-ES"/>
        </w:rPr>
        <w:t>InsR .</w:t>
      </w:r>
      <w:proofErr w:type="gramEnd"/>
      <w:r w:rsidRPr="00765031">
        <w:rPr>
          <w:rFonts w:ascii="Helvetica" w:eastAsia="Times New Roman" w:hAnsi="Helvetica" w:cs="Helvetica"/>
          <w:color w:val="333333"/>
          <w:sz w:val="18"/>
          <w:szCs w:val="18"/>
          <w:lang w:val="es-ES" w:eastAsia="es-ES"/>
        </w:rPr>
        <w:t xml:space="preserve"> El </w:t>
      </w:r>
      <w:proofErr w:type="spellStart"/>
      <w:r w:rsidRPr="00765031">
        <w:rPr>
          <w:rFonts w:ascii="Helvetica" w:eastAsia="Times New Roman" w:hAnsi="Helvetica" w:cs="Helvetica"/>
          <w:color w:val="333333"/>
          <w:sz w:val="18"/>
          <w:szCs w:val="18"/>
          <w:lang w:val="es-ES" w:eastAsia="es-ES"/>
        </w:rPr>
        <w:t>Akt</w:t>
      </w:r>
      <w:proofErr w:type="spellEnd"/>
      <w:r w:rsidRPr="00765031">
        <w:rPr>
          <w:rFonts w:ascii="Helvetica" w:eastAsia="Times New Roman" w:hAnsi="Helvetica" w:cs="Helvetica"/>
          <w:color w:val="333333"/>
          <w:sz w:val="18"/>
          <w:szCs w:val="18"/>
          <w:lang w:val="es-ES" w:eastAsia="es-ES"/>
        </w:rPr>
        <w:t xml:space="preserve"> ser473 fosforilado y el </w:t>
      </w:r>
      <w:proofErr w:type="spellStart"/>
      <w:r w:rsidRPr="00765031">
        <w:rPr>
          <w:rFonts w:ascii="Helvetica" w:eastAsia="Times New Roman" w:hAnsi="Helvetica" w:cs="Helvetica"/>
          <w:color w:val="333333"/>
          <w:sz w:val="18"/>
          <w:szCs w:val="18"/>
          <w:lang w:val="es-ES" w:eastAsia="es-ES"/>
        </w:rPr>
        <w:t>Akt</w:t>
      </w:r>
      <w:proofErr w:type="spellEnd"/>
      <w:r w:rsidRPr="00765031">
        <w:rPr>
          <w:rFonts w:ascii="Helvetica" w:eastAsia="Times New Roman" w:hAnsi="Helvetica" w:cs="Helvetica"/>
          <w:color w:val="333333"/>
          <w:sz w:val="18"/>
          <w:szCs w:val="18"/>
          <w:lang w:val="es-ES" w:eastAsia="es-ES"/>
        </w:rPr>
        <w:t xml:space="preserve"> total en las células se detectaron mediante anticuerpos policlonales específicos de conejo (Tecnología de señalización celular).</w:t>
      </w:r>
    </w:p>
    <w:p w14:paraId="6D960563" w14:textId="77777777" w:rsidR="00765031" w:rsidRPr="00765031" w:rsidRDefault="00765031" w:rsidP="007C0944">
      <w:pPr>
        <w:shd w:val="clear" w:color="auto" w:fill="FFFFFF"/>
        <w:spacing w:after="45" w:line="270" w:lineRule="atLeast"/>
        <w:jc w:val="both"/>
        <w:outlineLvl w:val="2"/>
        <w:rPr>
          <w:rFonts w:ascii="Georgia" w:eastAsia="Times New Roman" w:hAnsi="Georgia" w:cs="Times New Roman"/>
          <w:color w:val="333333"/>
          <w:sz w:val="27"/>
          <w:szCs w:val="27"/>
          <w:lang w:val="es-ES" w:eastAsia="es-ES"/>
        </w:rPr>
      </w:pPr>
      <w:r w:rsidRPr="00765031">
        <w:rPr>
          <w:rFonts w:ascii="Georgia" w:eastAsia="Times New Roman" w:hAnsi="Georgia" w:cs="Times New Roman"/>
          <w:color w:val="333333"/>
          <w:sz w:val="27"/>
          <w:szCs w:val="27"/>
          <w:lang w:val="es-ES" w:eastAsia="es-ES"/>
        </w:rPr>
        <w:t>Sujetos y diseño</w:t>
      </w:r>
    </w:p>
    <w:p w14:paraId="2F59A406" w14:textId="77777777" w:rsidR="00765031" w:rsidRPr="00765031" w:rsidRDefault="00765031"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765031">
        <w:rPr>
          <w:rFonts w:ascii="Helvetica" w:eastAsia="Times New Roman" w:hAnsi="Helvetica" w:cs="Helvetica"/>
          <w:color w:val="333333"/>
          <w:sz w:val="18"/>
          <w:szCs w:val="18"/>
          <w:lang w:val="es-ES" w:eastAsia="es-ES"/>
        </w:rPr>
        <w:t xml:space="preserve">Noventa y siete pacientes con DM2 con glucosa en sangre en ayunas (FBG) de al menos 7,0 mmol / L o glucosa en sangre posprandial de al menos 11,1 mmol / L se inscribieron en este estudio en el Primer Hospital de Nanjing. A estos pacientes se les pidió que finalizaran sus terapias anteriores durante más de 2 semanas antes de la inscripción en este estudio. Cincuenta pacientes (hombres / mujeres, 27/23; edad, 57 ± 8 años) fueron asignados aleatoriamente para el tratamiento BBR (1 g / d), 26 pacientes (hombres / mujeres, 15/11; edad, 56 ± 11 años) para la terapia con metformina (1,5 g / día), y 21 pacientes (hombres / mujeres, 11/10; edad, 49 ± 10 años) estaban en el grupo de rosiglitazona (4 mg / día). Los pacientes fueron tratados por vía oral con BBR, metformina o rosiglitazona durante 2 meses. Las dosis diarias de BBR y metformina se dividieron en dos, y la rosiglitazona se tomó una vez al día. El clorhidrato de berberina utilizado en este estudio fue de Nanjing </w:t>
      </w:r>
      <w:proofErr w:type="spellStart"/>
      <w:r w:rsidRPr="00765031">
        <w:rPr>
          <w:rFonts w:ascii="Helvetica" w:eastAsia="Times New Roman" w:hAnsi="Helvetica" w:cs="Helvetica"/>
          <w:color w:val="333333"/>
          <w:sz w:val="18"/>
          <w:szCs w:val="18"/>
          <w:lang w:val="es-ES" w:eastAsia="es-ES"/>
        </w:rPr>
        <w:t>Second</w:t>
      </w:r>
      <w:proofErr w:type="spellEnd"/>
      <w:r w:rsidRPr="00765031">
        <w:rPr>
          <w:rFonts w:ascii="Helvetica" w:eastAsia="Times New Roman" w:hAnsi="Helvetica" w:cs="Helvetica"/>
          <w:color w:val="333333"/>
          <w:sz w:val="18"/>
          <w:szCs w:val="18"/>
          <w:lang w:val="es-ES" w:eastAsia="es-ES"/>
        </w:rPr>
        <w:t xml:space="preserve"> </w:t>
      </w:r>
      <w:proofErr w:type="spellStart"/>
      <w:r w:rsidRPr="00765031">
        <w:rPr>
          <w:rFonts w:ascii="Helvetica" w:eastAsia="Times New Roman" w:hAnsi="Helvetica" w:cs="Helvetica"/>
          <w:color w:val="333333"/>
          <w:sz w:val="18"/>
          <w:szCs w:val="18"/>
          <w:lang w:val="es-ES" w:eastAsia="es-ES"/>
        </w:rPr>
        <w:t>Pharmaceutics</w:t>
      </w:r>
      <w:proofErr w:type="spellEnd"/>
      <w:r w:rsidRPr="00765031">
        <w:rPr>
          <w:rFonts w:ascii="Helvetica" w:eastAsia="Times New Roman" w:hAnsi="Helvetica" w:cs="Helvetica"/>
          <w:color w:val="333333"/>
          <w:sz w:val="18"/>
          <w:szCs w:val="18"/>
          <w:lang w:val="es-ES" w:eastAsia="es-ES"/>
        </w:rPr>
        <w:t xml:space="preserve"> (Nanjing, China), el clorhidrato de metformina fue de </w:t>
      </w:r>
      <w:proofErr w:type="spellStart"/>
      <w:r w:rsidRPr="00765031">
        <w:rPr>
          <w:rFonts w:ascii="Helvetica" w:eastAsia="Times New Roman" w:hAnsi="Helvetica" w:cs="Helvetica"/>
          <w:color w:val="333333"/>
          <w:sz w:val="18"/>
          <w:szCs w:val="18"/>
          <w:lang w:val="es-ES" w:eastAsia="es-ES"/>
        </w:rPr>
        <w:t>Double</w:t>
      </w:r>
      <w:proofErr w:type="spellEnd"/>
      <w:r w:rsidRPr="00765031">
        <w:rPr>
          <w:rFonts w:ascii="Helvetica" w:eastAsia="Times New Roman" w:hAnsi="Helvetica" w:cs="Helvetica"/>
          <w:color w:val="333333"/>
          <w:sz w:val="18"/>
          <w:szCs w:val="18"/>
          <w:lang w:val="es-ES" w:eastAsia="es-ES"/>
        </w:rPr>
        <w:t xml:space="preserve">-Crane </w:t>
      </w:r>
      <w:proofErr w:type="spellStart"/>
      <w:r w:rsidRPr="00765031">
        <w:rPr>
          <w:rFonts w:ascii="Helvetica" w:eastAsia="Times New Roman" w:hAnsi="Helvetica" w:cs="Helvetica"/>
          <w:color w:val="333333"/>
          <w:sz w:val="18"/>
          <w:szCs w:val="18"/>
          <w:lang w:val="es-ES" w:eastAsia="es-ES"/>
        </w:rPr>
        <w:t>Pharmaceutical</w:t>
      </w:r>
      <w:proofErr w:type="spellEnd"/>
      <w:r w:rsidRPr="00765031">
        <w:rPr>
          <w:rFonts w:ascii="Helvetica" w:eastAsia="Times New Roman" w:hAnsi="Helvetica" w:cs="Helvetica"/>
          <w:color w:val="333333"/>
          <w:sz w:val="18"/>
          <w:szCs w:val="18"/>
          <w:lang w:val="es-ES" w:eastAsia="es-ES"/>
        </w:rPr>
        <w:t xml:space="preserve"> (Beijing, China) y el maleato de rosiglitazona (</w:t>
      </w:r>
      <w:proofErr w:type="spellStart"/>
      <w:r w:rsidRPr="00765031">
        <w:rPr>
          <w:rFonts w:ascii="Helvetica" w:eastAsia="Times New Roman" w:hAnsi="Helvetica" w:cs="Helvetica"/>
          <w:color w:val="333333"/>
          <w:sz w:val="18"/>
          <w:szCs w:val="18"/>
          <w:lang w:val="es-ES" w:eastAsia="es-ES"/>
        </w:rPr>
        <w:t>Avandia</w:t>
      </w:r>
      <w:proofErr w:type="spellEnd"/>
      <w:r w:rsidRPr="00765031">
        <w:rPr>
          <w:rFonts w:ascii="Helvetica" w:eastAsia="Times New Roman" w:hAnsi="Helvetica" w:cs="Helvetica"/>
          <w:color w:val="333333"/>
          <w:sz w:val="18"/>
          <w:szCs w:val="18"/>
          <w:lang w:val="es-ES" w:eastAsia="es-ES"/>
        </w:rPr>
        <w:t>) fue de GlaxoSmithKline (Brentford, Middlesex, Reino Unido</w:t>
      </w:r>
      <w:proofErr w:type="gramStart"/>
      <w:r w:rsidRPr="00765031">
        <w:rPr>
          <w:rFonts w:ascii="Helvetica" w:eastAsia="Times New Roman" w:hAnsi="Helvetica" w:cs="Helvetica"/>
          <w:color w:val="333333"/>
          <w:sz w:val="18"/>
          <w:szCs w:val="18"/>
          <w:lang w:val="es-ES" w:eastAsia="es-ES"/>
        </w:rPr>
        <w:t>) .</w:t>
      </w:r>
      <w:proofErr w:type="gramEnd"/>
      <w:r w:rsidRPr="00765031">
        <w:rPr>
          <w:rFonts w:ascii="Helvetica" w:eastAsia="Times New Roman" w:hAnsi="Helvetica" w:cs="Helvetica"/>
          <w:color w:val="333333"/>
          <w:sz w:val="18"/>
          <w:szCs w:val="18"/>
          <w:lang w:val="es-ES" w:eastAsia="es-ES"/>
        </w:rPr>
        <w:t xml:space="preserve"> La metformina y la rosiglitazona se utilizaron como referencias en este estudio. Se tomaron muestras de sangre antes y 2 meses después de la terapia. Glucemia en ayunas, hemoglobina </w:t>
      </w:r>
      <w:proofErr w:type="spellStart"/>
      <w:r w:rsidRPr="00765031">
        <w:rPr>
          <w:rFonts w:ascii="Helvetica" w:eastAsia="Times New Roman" w:hAnsi="Helvetica" w:cs="Helvetica"/>
          <w:color w:val="333333"/>
          <w:sz w:val="18"/>
          <w:szCs w:val="18"/>
          <w:lang w:val="es-ES" w:eastAsia="es-ES"/>
        </w:rPr>
        <w:t>ASe</w:t>
      </w:r>
      <w:proofErr w:type="spellEnd"/>
      <w:r w:rsidRPr="00765031">
        <w:rPr>
          <w:rFonts w:ascii="Helvetica" w:eastAsia="Times New Roman" w:hAnsi="Helvetica" w:cs="Helvetica"/>
          <w:color w:val="333333"/>
          <w:sz w:val="18"/>
          <w:szCs w:val="18"/>
          <w:lang w:val="es-ES" w:eastAsia="es-ES"/>
        </w:rPr>
        <w:t xml:space="preserve"> midieron los niveles de </w:t>
      </w:r>
      <w:r w:rsidRPr="00765031">
        <w:rPr>
          <w:rFonts w:ascii="Helvetica" w:eastAsia="Times New Roman" w:hAnsi="Helvetica" w:cs="Helvetica"/>
          <w:color w:val="333333"/>
          <w:sz w:val="20"/>
          <w:szCs w:val="20"/>
          <w:vertAlign w:val="subscript"/>
          <w:lang w:val="es-ES" w:eastAsia="es-ES"/>
        </w:rPr>
        <w:t>1c</w:t>
      </w:r>
      <w:r w:rsidRPr="00765031">
        <w:rPr>
          <w:rFonts w:ascii="Helvetica" w:eastAsia="Times New Roman" w:hAnsi="Helvetica" w:cs="Helvetica"/>
          <w:color w:val="333333"/>
          <w:sz w:val="18"/>
          <w:szCs w:val="18"/>
          <w:lang w:val="es-ES" w:eastAsia="es-ES"/>
        </w:rPr>
        <w:t> (HbA </w:t>
      </w:r>
      <w:r w:rsidRPr="00765031">
        <w:rPr>
          <w:rFonts w:ascii="Helvetica" w:eastAsia="Times New Roman" w:hAnsi="Helvetica" w:cs="Helvetica"/>
          <w:color w:val="333333"/>
          <w:sz w:val="20"/>
          <w:szCs w:val="20"/>
          <w:vertAlign w:val="subscript"/>
          <w:lang w:val="es-ES" w:eastAsia="es-ES"/>
        </w:rPr>
        <w:t>1</w:t>
      </w:r>
      <w:proofErr w:type="gramStart"/>
      <w:r w:rsidRPr="00765031">
        <w:rPr>
          <w:rFonts w:ascii="Helvetica" w:eastAsia="Times New Roman" w:hAnsi="Helvetica" w:cs="Helvetica"/>
          <w:color w:val="333333"/>
          <w:sz w:val="20"/>
          <w:szCs w:val="20"/>
          <w:vertAlign w:val="subscript"/>
          <w:lang w:val="es-ES" w:eastAsia="es-ES"/>
        </w:rPr>
        <w:t>c</w:t>
      </w:r>
      <w:r w:rsidRPr="00765031">
        <w:rPr>
          <w:rFonts w:ascii="Helvetica" w:eastAsia="Times New Roman" w:hAnsi="Helvetica" w:cs="Helvetica"/>
          <w:color w:val="333333"/>
          <w:sz w:val="18"/>
          <w:szCs w:val="18"/>
          <w:lang w:val="es-ES" w:eastAsia="es-ES"/>
        </w:rPr>
        <w:t> )</w:t>
      </w:r>
      <w:proofErr w:type="gramEnd"/>
      <w:r w:rsidRPr="00765031">
        <w:rPr>
          <w:rFonts w:ascii="Helvetica" w:eastAsia="Times New Roman" w:hAnsi="Helvetica" w:cs="Helvetica"/>
          <w:color w:val="333333"/>
          <w:sz w:val="18"/>
          <w:szCs w:val="18"/>
          <w:lang w:val="es-ES" w:eastAsia="es-ES"/>
        </w:rPr>
        <w:t>, triglicéridos (TG) e insulina sérica. Se examinaron las funciones hepática y renal en pacientes tratados con BBR. Los linfocitos de sangre periférica (PBL) de pacientes tratados con BBR se aislaron antes y después del tratamiento para examinar la expresión de la proteína InsR en la superficie de PBL mediante citometría de flujo.</w:t>
      </w:r>
    </w:p>
    <w:p w14:paraId="1CF633CD" w14:textId="77777777" w:rsidR="00765031" w:rsidRPr="00765031" w:rsidRDefault="00765031"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765031">
        <w:rPr>
          <w:rFonts w:ascii="Helvetica" w:eastAsia="Times New Roman" w:hAnsi="Helvetica" w:cs="Helvetica"/>
          <w:color w:val="333333"/>
          <w:sz w:val="18"/>
          <w:szCs w:val="18"/>
          <w:lang w:val="es-ES" w:eastAsia="es-ES"/>
        </w:rPr>
        <w:t xml:space="preserve">En otro conjunto de estudios, 35 pacientes con infección crónica por el virus de la hepatitis C (VHC) (anticuerpo contra el VHC [+] y ARN del VHC [+]) o infección por VHB (HBsAg [+], </w:t>
      </w:r>
      <w:proofErr w:type="spellStart"/>
      <w:r w:rsidRPr="00765031">
        <w:rPr>
          <w:rFonts w:ascii="Helvetica" w:eastAsia="Times New Roman" w:hAnsi="Helvetica" w:cs="Helvetica"/>
          <w:color w:val="333333"/>
          <w:sz w:val="18"/>
          <w:szCs w:val="18"/>
          <w:lang w:val="es-ES" w:eastAsia="es-ES"/>
        </w:rPr>
        <w:t>HBeAg</w:t>
      </w:r>
      <w:proofErr w:type="spellEnd"/>
      <w:r w:rsidRPr="00765031">
        <w:rPr>
          <w:rFonts w:ascii="Helvetica" w:eastAsia="Times New Roman" w:hAnsi="Helvetica" w:cs="Helvetica"/>
          <w:color w:val="333333"/>
          <w:sz w:val="18"/>
          <w:szCs w:val="18"/>
          <w:lang w:val="es-ES" w:eastAsia="es-ES"/>
        </w:rPr>
        <w:t xml:space="preserve"> [+] y ADN del VHB [+</w:t>
      </w:r>
      <w:proofErr w:type="gramStart"/>
      <w:r w:rsidRPr="00765031">
        <w:rPr>
          <w:rFonts w:ascii="Helvetica" w:eastAsia="Times New Roman" w:hAnsi="Helvetica" w:cs="Helvetica"/>
          <w:color w:val="333333"/>
          <w:sz w:val="18"/>
          <w:szCs w:val="18"/>
          <w:lang w:val="es-ES" w:eastAsia="es-ES"/>
        </w:rPr>
        <w:t>] )</w:t>
      </w:r>
      <w:proofErr w:type="gramEnd"/>
      <w:r w:rsidRPr="00765031">
        <w:rPr>
          <w:rFonts w:ascii="Helvetica" w:eastAsia="Times New Roman" w:hAnsi="Helvetica" w:cs="Helvetica"/>
          <w:color w:val="333333"/>
          <w:sz w:val="18"/>
          <w:szCs w:val="18"/>
          <w:lang w:val="es-ES" w:eastAsia="es-ES"/>
        </w:rPr>
        <w:t xml:space="preserve"> fueron inscritos en el Segundo Hospital de Nanjing. Entre ellos, 18 pacientes (hombres / mujeres, 11/7; edad, 52.6 ± 7.8 años) estaban en el grupo de hepatitis C; y 17 pacientes (hombres / mujeres, 14/3; edad, 56.7 ± 8.1 años) tenían hepatitis B crónica. Estos pacientes fueron diagnosticados con DM2 o glucosa en ayunas alterada (IFG; rango de FBG, 5.6</w:t>
      </w:r>
      <w:r w:rsidRPr="00765031">
        <w:rPr>
          <w:rFonts w:ascii="Cambria Math" w:eastAsia="Times New Roman" w:hAnsi="Cambria Math" w:cs="Cambria Math"/>
          <w:color w:val="333333"/>
          <w:sz w:val="18"/>
          <w:szCs w:val="18"/>
          <w:lang w:val="es-ES" w:eastAsia="es-ES"/>
        </w:rPr>
        <w:t>∼</w:t>
      </w:r>
      <w:r w:rsidRPr="00765031">
        <w:rPr>
          <w:rFonts w:ascii="Helvetica" w:eastAsia="Times New Roman" w:hAnsi="Helvetica" w:cs="Helvetica"/>
          <w:color w:val="333333"/>
          <w:sz w:val="18"/>
          <w:szCs w:val="18"/>
          <w:lang w:val="es-ES" w:eastAsia="es-ES"/>
        </w:rPr>
        <w:t xml:space="preserve">6.9 mmol / L). Todos los pacientes recibieron terapia oral de BBR (Nanjing </w:t>
      </w:r>
      <w:proofErr w:type="spellStart"/>
      <w:r w:rsidRPr="00765031">
        <w:rPr>
          <w:rFonts w:ascii="Helvetica" w:eastAsia="Times New Roman" w:hAnsi="Helvetica" w:cs="Helvetica"/>
          <w:color w:val="333333"/>
          <w:sz w:val="18"/>
          <w:szCs w:val="18"/>
          <w:lang w:val="es-ES" w:eastAsia="es-ES"/>
        </w:rPr>
        <w:t>Second</w:t>
      </w:r>
      <w:proofErr w:type="spellEnd"/>
      <w:r w:rsidRPr="00765031">
        <w:rPr>
          <w:rFonts w:ascii="Helvetica" w:eastAsia="Times New Roman" w:hAnsi="Helvetica" w:cs="Helvetica"/>
          <w:color w:val="333333"/>
          <w:sz w:val="18"/>
          <w:szCs w:val="18"/>
          <w:lang w:val="es-ES" w:eastAsia="es-ES"/>
        </w:rPr>
        <w:t xml:space="preserve"> </w:t>
      </w:r>
      <w:proofErr w:type="spellStart"/>
      <w:r w:rsidRPr="00765031">
        <w:rPr>
          <w:rFonts w:ascii="Helvetica" w:eastAsia="Times New Roman" w:hAnsi="Helvetica" w:cs="Helvetica"/>
          <w:color w:val="333333"/>
          <w:sz w:val="18"/>
          <w:szCs w:val="18"/>
          <w:lang w:val="es-ES" w:eastAsia="es-ES"/>
        </w:rPr>
        <w:t>Pharmaceutics</w:t>
      </w:r>
      <w:proofErr w:type="spellEnd"/>
      <w:r w:rsidRPr="00765031">
        <w:rPr>
          <w:rFonts w:ascii="Helvetica" w:eastAsia="Times New Roman" w:hAnsi="Helvetica" w:cs="Helvetica"/>
          <w:color w:val="333333"/>
          <w:sz w:val="18"/>
          <w:szCs w:val="18"/>
          <w:lang w:val="es-ES" w:eastAsia="es-ES"/>
        </w:rPr>
        <w:t>) a una dosis de 1 g / día durante 2 meses. Se tomaron muestras de sangre antes y después del tratamiento para la medición de FBG, TG y función hepática.</w:t>
      </w:r>
    </w:p>
    <w:p w14:paraId="2C2E0D1A" w14:textId="77777777" w:rsidR="00765031" w:rsidRPr="00765031" w:rsidRDefault="00765031"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765031">
        <w:rPr>
          <w:rFonts w:ascii="Helvetica" w:eastAsia="Times New Roman" w:hAnsi="Helvetica" w:cs="Helvetica"/>
          <w:color w:val="333333"/>
          <w:sz w:val="18"/>
          <w:szCs w:val="18"/>
          <w:lang w:val="es-ES" w:eastAsia="es-ES"/>
        </w:rPr>
        <w:t>Los estudios clínicos fueron aprobados por los Comités de Ética del Instituto de Biotecnología Medicinal, el Primer Hospital de Nanjing y el Segundo Hospital de Nanjing y se llevaron a cabo de conformidad con las directrices de la Declaración de Helsinki. Todos los participantes dieron su consentimiento informado.</w:t>
      </w:r>
    </w:p>
    <w:p w14:paraId="7DB958D0" w14:textId="77777777" w:rsidR="00765031" w:rsidRPr="00765031" w:rsidRDefault="00765031" w:rsidP="007C0944">
      <w:pPr>
        <w:shd w:val="clear" w:color="auto" w:fill="FFFFFF"/>
        <w:spacing w:after="45" w:line="270" w:lineRule="atLeast"/>
        <w:jc w:val="both"/>
        <w:outlineLvl w:val="2"/>
        <w:rPr>
          <w:rFonts w:ascii="Georgia" w:eastAsia="Times New Roman" w:hAnsi="Georgia" w:cs="Times New Roman"/>
          <w:color w:val="333333"/>
          <w:sz w:val="27"/>
          <w:szCs w:val="27"/>
          <w:lang w:val="es-ES" w:eastAsia="es-ES"/>
        </w:rPr>
      </w:pPr>
      <w:r w:rsidRPr="00765031">
        <w:rPr>
          <w:rFonts w:ascii="Georgia" w:eastAsia="Times New Roman" w:hAnsi="Georgia" w:cs="Times New Roman"/>
          <w:color w:val="333333"/>
          <w:sz w:val="27"/>
          <w:szCs w:val="27"/>
          <w:lang w:val="es-ES" w:eastAsia="es-ES"/>
        </w:rPr>
        <w:t> análisis estadístico</w:t>
      </w:r>
    </w:p>
    <w:p w14:paraId="4A911082" w14:textId="4DCBAD43" w:rsidR="00765031" w:rsidRDefault="00765031"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765031">
        <w:rPr>
          <w:rFonts w:ascii="Helvetica" w:eastAsia="Times New Roman" w:hAnsi="Helvetica" w:cs="Helvetica"/>
          <w:color w:val="333333"/>
          <w:sz w:val="18"/>
          <w:szCs w:val="18"/>
          <w:lang w:val="es-ES" w:eastAsia="es-ES"/>
        </w:rPr>
        <w:t>Los resultados de los pacientes antes y después del tratamiento se compararon por diferencia utilizando la prueba </w:t>
      </w:r>
      <w:r w:rsidRPr="00765031">
        <w:rPr>
          <w:rFonts w:ascii="Helvetica" w:eastAsia="Times New Roman" w:hAnsi="Helvetica" w:cs="Helvetica"/>
          <w:i/>
          <w:iCs/>
          <w:color w:val="333333"/>
          <w:sz w:val="18"/>
          <w:szCs w:val="18"/>
          <w:lang w:val="es-ES" w:eastAsia="es-ES"/>
        </w:rPr>
        <w:t>t</w:t>
      </w:r>
      <w:r w:rsidRPr="00765031">
        <w:rPr>
          <w:rFonts w:ascii="Helvetica" w:eastAsia="Times New Roman" w:hAnsi="Helvetica" w:cs="Helvetica"/>
          <w:color w:val="333333"/>
          <w:sz w:val="18"/>
          <w:szCs w:val="18"/>
          <w:lang w:val="es-ES" w:eastAsia="es-ES"/>
        </w:rPr>
        <w:t> </w:t>
      </w:r>
      <w:r w:rsidR="007C0944" w:rsidRPr="00765031">
        <w:rPr>
          <w:rFonts w:ascii="Helvetica" w:eastAsia="Times New Roman" w:hAnsi="Helvetica" w:cs="Helvetica"/>
          <w:color w:val="333333"/>
          <w:sz w:val="18"/>
          <w:szCs w:val="18"/>
          <w:lang w:val="es-ES" w:eastAsia="es-ES"/>
        </w:rPr>
        <w:t>pareada.</w:t>
      </w:r>
      <w:r w:rsidRPr="00765031">
        <w:rPr>
          <w:rFonts w:ascii="Helvetica" w:eastAsia="Times New Roman" w:hAnsi="Helvetica" w:cs="Helvetica"/>
          <w:color w:val="333333"/>
          <w:sz w:val="18"/>
          <w:szCs w:val="18"/>
          <w:lang w:val="es-ES" w:eastAsia="es-ES"/>
        </w:rPr>
        <w:t> Después de la validación de la prueba de homogeneidad de la varianza, se examinaron las diferencias entre o entre los grupos de estudio mediante la prueba </w:t>
      </w:r>
      <w:r w:rsidRPr="00765031">
        <w:rPr>
          <w:rFonts w:ascii="Helvetica" w:eastAsia="Times New Roman" w:hAnsi="Helvetica" w:cs="Helvetica"/>
          <w:i/>
          <w:iCs/>
          <w:color w:val="333333"/>
          <w:sz w:val="18"/>
          <w:szCs w:val="18"/>
          <w:lang w:val="es-ES" w:eastAsia="es-ES"/>
        </w:rPr>
        <w:t>t de</w:t>
      </w:r>
      <w:r w:rsidRPr="00765031">
        <w:rPr>
          <w:rFonts w:ascii="Helvetica" w:eastAsia="Times New Roman" w:hAnsi="Helvetica" w:cs="Helvetica"/>
          <w:color w:val="333333"/>
          <w:sz w:val="18"/>
          <w:szCs w:val="18"/>
          <w:lang w:val="es-ES" w:eastAsia="es-ES"/>
        </w:rPr>
        <w:t> Student o un análisis de varianza de 1 vía seguido de la prueba de Newman-</w:t>
      </w:r>
      <w:proofErr w:type="spellStart"/>
      <w:r w:rsidRPr="00765031">
        <w:rPr>
          <w:rFonts w:ascii="Helvetica" w:eastAsia="Times New Roman" w:hAnsi="Helvetica" w:cs="Helvetica"/>
          <w:color w:val="333333"/>
          <w:sz w:val="18"/>
          <w:szCs w:val="18"/>
          <w:lang w:val="es-ES" w:eastAsia="es-ES"/>
        </w:rPr>
        <w:t>Keuls</w:t>
      </w:r>
      <w:proofErr w:type="spellEnd"/>
      <w:r w:rsidRPr="00765031">
        <w:rPr>
          <w:rFonts w:ascii="Helvetica" w:eastAsia="Times New Roman" w:hAnsi="Helvetica" w:cs="Helvetica"/>
          <w:color w:val="333333"/>
          <w:sz w:val="18"/>
          <w:szCs w:val="18"/>
          <w:lang w:val="es-ES" w:eastAsia="es-ES"/>
        </w:rPr>
        <w:t xml:space="preserve"> para comparaciones múltiples.</w:t>
      </w:r>
    </w:p>
    <w:p w14:paraId="3A332943" w14:textId="77777777" w:rsidR="00765031" w:rsidRDefault="00765031"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p>
    <w:p w14:paraId="57C2C79B" w14:textId="77777777" w:rsidR="00765031" w:rsidRDefault="00765031"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p>
    <w:p w14:paraId="66705E19" w14:textId="77777777" w:rsidR="00765031" w:rsidRDefault="00765031"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p>
    <w:p w14:paraId="7FD6C849" w14:textId="77777777" w:rsidR="00765031" w:rsidRPr="00765031" w:rsidRDefault="00765031"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p>
    <w:p w14:paraId="6DCE853D" w14:textId="77777777" w:rsidR="00765031" w:rsidRDefault="00765031" w:rsidP="007C0944">
      <w:pPr>
        <w:shd w:val="clear" w:color="auto" w:fill="FFFFFF"/>
        <w:spacing w:after="45" w:line="270" w:lineRule="atLeast"/>
        <w:jc w:val="both"/>
        <w:outlineLvl w:val="2"/>
        <w:rPr>
          <w:rFonts w:ascii="Georgia" w:eastAsia="Times New Roman" w:hAnsi="Georgia" w:cs="Times New Roman"/>
          <w:color w:val="333333"/>
          <w:sz w:val="27"/>
          <w:szCs w:val="27"/>
          <w:lang w:val="es-ES" w:eastAsia="es-ES"/>
        </w:rPr>
      </w:pPr>
      <w:r>
        <w:rPr>
          <w:rFonts w:ascii="Georgia" w:eastAsia="Times New Roman" w:hAnsi="Georgia" w:cs="Times New Roman"/>
          <w:color w:val="333333"/>
          <w:sz w:val="27"/>
          <w:szCs w:val="27"/>
          <w:lang w:val="es-ES" w:eastAsia="es-ES"/>
        </w:rPr>
        <w:lastRenderedPageBreak/>
        <w:t>Resultados.</w:t>
      </w:r>
    </w:p>
    <w:p w14:paraId="26DA6495" w14:textId="77777777" w:rsidR="00765031" w:rsidRDefault="00765031" w:rsidP="007C0944">
      <w:pPr>
        <w:shd w:val="clear" w:color="auto" w:fill="FFFFFF"/>
        <w:spacing w:after="45" w:line="270" w:lineRule="atLeast"/>
        <w:jc w:val="both"/>
        <w:outlineLvl w:val="2"/>
        <w:rPr>
          <w:rFonts w:ascii="Georgia" w:eastAsia="Times New Roman" w:hAnsi="Georgia" w:cs="Times New Roman"/>
          <w:color w:val="333333"/>
          <w:sz w:val="27"/>
          <w:szCs w:val="27"/>
          <w:lang w:val="es-ES" w:eastAsia="es-ES"/>
        </w:rPr>
      </w:pPr>
    </w:p>
    <w:p w14:paraId="23515F81" w14:textId="77777777" w:rsidR="00765031" w:rsidRPr="00765031" w:rsidRDefault="00765031" w:rsidP="007C0944">
      <w:pPr>
        <w:shd w:val="clear" w:color="auto" w:fill="FFFFFF"/>
        <w:spacing w:after="45" w:line="270" w:lineRule="atLeast"/>
        <w:jc w:val="both"/>
        <w:outlineLvl w:val="2"/>
        <w:rPr>
          <w:rFonts w:ascii="Georgia" w:eastAsia="Times New Roman" w:hAnsi="Georgia" w:cs="Times New Roman"/>
          <w:color w:val="333333"/>
          <w:sz w:val="27"/>
          <w:szCs w:val="27"/>
          <w:lang w:val="es-ES" w:eastAsia="es-ES"/>
        </w:rPr>
      </w:pPr>
      <w:r w:rsidRPr="00765031">
        <w:rPr>
          <w:rFonts w:ascii="Georgia" w:eastAsia="Times New Roman" w:hAnsi="Georgia" w:cs="Times New Roman"/>
          <w:color w:val="333333"/>
          <w:sz w:val="27"/>
          <w:szCs w:val="27"/>
          <w:lang w:val="es-ES" w:eastAsia="es-ES"/>
        </w:rPr>
        <w:t>BBR aumenta la expresión de InsR y mejora la señalización de insulina en líneas celulares humanas</w:t>
      </w:r>
    </w:p>
    <w:p w14:paraId="03C99442" w14:textId="77777777" w:rsidR="00765031" w:rsidRPr="00765031" w:rsidRDefault="00765031"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765031">
        <w:rPr>
          <w:rFonts w:ascii="Helvetica" w:eastAsia="Times New Roman" w:hAnsi="Helvetica" w:cs="Helvetica"/>
          <w:color w:val="333333"/>
          <w:sz w:val="18"/>
          <w:szCs w:val="18"/>
          <w:lang w:val="es-ES" w:eastAsia="es-ES"/>
        </w:rPr>
        <w:t>Nuestro estudio anterior demostró que BBR aumenta la expresión de proteínas y ARNm de InsR en células hepáticas humanas de una manera dependiente de la dosis y el tiempo [ </w:t>
      </w:r>
      <w:hyperlink r:id="rId32" w:history="1">
        <w:r w:rsidRPr="00765031">
          <w:rPr>
            <w:rFonts w:ascii="Helvetica" w:eastAsia="Times New Roman" w:hAnsi="Helvetica" w:cs="Helvetica"/>
            <w:color w:val="336699"/>
            <w:sz w:val="18"/>
            <w:szCs w:val="18"/>
            <w:u w:val="single"/>
            <w:lang w:val="es-ES" w:eastAsia="es-ES"/>
          </w:rPr>
          <w:t>22</w:t>
        </w:r>
      </w:hyperlink>
      <w:r w:rsidRPr="00765031">
        <w:rPr>
          <w:rFonts w:ascii="Helvetica" w:eastAsia="Times New Roman" w:hAnsi="Helvetica" w:cs="Helvetica"/>
          <w:color w:val="333333"/>
          <w:sz w:val="18"/>
          <w:szCs w:val="18"/>
          <w:lang w:val="es-ES" w:eastAsia="es-ES"/>
        </w:rPr>
        <w:t> ] . Para determinar si BBR puede regular en exceso InsR en otros tipos de células humanas, utilizamos BBR para tratar una variedad de líneas celulares humanas, incluyendo linfocitos T CEM, células de cáncer de colon HCT-116, células pancreáticas SW1990, células de fibrosarcoma HT1080 y 293T células de fibroblastos. Los niveles de expresión de ARNm de InsR en estas células se analizaron mediante transcriptasa inversa (RT) -PCR en tiempo real. Como se muestra en la </w:t>
      </w:r>
      <w:hyperlink r:id="rId33" w:tgtFrame="_blank" w:history="1">
        <w:r w:rsidRPr="00765031">
          <w:rPr>
            <w:rFonts w:ascii="Helvetica" w:eastAsia="Times New Roman" w:hAnsi="Helvetica" w:cs="Helvetica"/>
            <w:color w:val="336699"/>
            <w:sz w:val="18"/>
            <w:szCs w:val="18"/>
            <w:u w:val="single"/>
            <w:lang w:val="es-ES" w:eastAsia="es-ES"/>
          </w:rPr>
          <w:t>Fig. 1</w:t>
        </w:r>
      </w:hyperlink>
      <w:r w:rsidRPr="00765031">
        <w:rPr>
          <w:rFonts w:ascii="Helvetica" w:eastAsia="Times New Roman" w:hAnsi="Helvetica" w:cs="Helvetica"/>
          <w:color w:val="333333"/>
          <w:sz w:val="18"/>
          <w:szCs w:val="18"/>
          <w:lang w:val="es-ES" w:eastAsia="es-ES"/>
        </w:rPr>
        <w:t> A, después de 12 horas de tratamiento, 10 </w:t>
      </w:r>
      <w:r w:rsidRPr="00765031">
        <w:rPr>
          <w:rFonts w:ascii="Helvetica" w:eastAsia="Times New Roman" w:hAnsi="Helvetica" w:cs="Helvetica"/>
          <w:i/>
          <w:iCs/>
          <w:color w:val="333333"/>
          <w:sz w:val="18"/>
          <w:szCs w:val="18"/>
          <w:lang w:val="es-ES" w:eastAsia="es-ES"/>
        </w:rPr>
        <w:t>μ</w:t>
      </w:r>
      <w:r w:rsidRPr="00765031">
        <w:rPr>
          <w:rFonts w:ascii="Helvetica" w:eastAsia="Times New Roman" w:hAnsi="Helvetica" w:cs="Helvetica"/>
          <w:color w:val="333333"/>
          <w:sz w:val="18"/>
          <w:szCs w:val="18"/>
          <w:lang w:val="es-ES" w:eastAsia="es-ES"/>
        </w:rPr>
        <w:t> g / ml de BBR aumentaron la expresión de ARNm de InsR en todas las líneas celulares con grados entre 1,6 y 1,9 veces las del control de solvente DMSO ( </w:t>
      </w:r>
      <w:r w:rsidRPr="00765031">
        <w:rPr>
          <w:rFonts w:ascii="Helvetica" w:eastAsia="Times New Roman" w:hAnsi="Helvetica" w:cs="Helvetica"/>
          <w:i/>
          <w:iCs/>
          <w:color w:val="333333"/>
          <w:sz w:val="18"/>
          <w:szCs w:val="18"/>
          <w:lang w:val="es-ES" w:eastAsia="es-ES"/>
        </w:rPr>
        <w:t>P</w:t>
      </w:r>
      <w:r w:rsidRPr="00765031">
        <w:rPr>
          <w:rFonts w:ascii="Helvetica" w:eastAsia="Times New Roman" w:hAnsi="Helvetica" w:cs="Helvetica"/>
          <w:color w:val="333333"/>
          <w:sz w:val="18"/>
          <w:szCs w:val="18"/>
          <w:lang w:val="es-ES" w:eastAsia="es-ES"/>
        </w:rPr>
        <w:t>&lt;.01). Posteriormente, los niveles de expresión de la proteína InsR en la superficie celular se determinaron con citometría de flujo. Como se muestra en la </w:t>
      </w:r>
      <w:hyperlink r:id="rId34" w:tgtFrame="_blank" w:history="1">
        <w:r w:rsidRPr="00765031">
          <w:rPr>
            <w:rFonts w:ascii="Helvetica" w:eastAsia="Times New Roman" w:hAnsi="Helvetica" w:cs="Helvetica"/>
            <w:color w:val="336699"/>
            <w:sz w:val="18"/>
            <w:szCs w:val="18"/>
            <w:u w:val="single"/>
            <w:lang w:val="es-ES" w:eastAsia="es-ES"/>
          </w:rPr>
          <w:t>Fig. 1</w:t>
        </w:r>
      </w:hyperlink>
      <w:r w:rsidRPr="00765031">
        <w:rPr>
          <w:rFonts w:ascii="Helvetica" w:eastAsia="Times New Roman" w:hAnsi="Helvetica" w:cs="Helvetica"/>
          <w:color w:val="333333"/>
          <w:sz w:val="18"/>
          <w:szCs w:val="18"/>
          <w:lang w:val="es-ES" w:eastAsia="es-ES"/>
        </w:rPr>
        <w:t> B, la expresión de la proteína InsR regulada por BBR aumentó significativamente en todas las líneas celulares del estudio al mostrar que la mayoría de las células se movieron hacia el lado derecho y la formación de nuevos picos. El aumento de la expresión de la proteína InsR se confirmó por ensayo de transferencia Western. Como se muestra en la </w:t>
      </w:r>
      <w:hyperlink r:id="rId35" w:tgtFrame="_blank" w:history="1">
        <w:r w:rsidRPr="00765031">
          <w:rPr>
            <w:rFonts w:ascii="Helvetica" w:eastAsia="Times New Roman" w:hAnsi="Helvetica" w:cs="Helvetica"/>
            <w:color w:val="336699"/>
            <w:sz w:val="18"/>
            <w:szCs w:val="18"/>
            <w:u w:val="single"/>
            <w:lang w:val="es-ES" w:eastAsia="es-ES"/>
          </w:rPr>
          <w:t>Fig. 1</w:t>
        </w:r>
      </w:hyperlink>
      <w:r w:rsidRPr="00765031">
        <w:rPr>
          <w:rFonts w:ascii="Helvetica" w:eastAsia="Times New Roman" w:hAnsi="Helvetica" w:cs="Helvetica"/>
          <w:color w:val="333333"/>
          <w:sz w:val="18"/>
          <w:szCs w:val="18"/>
          <w:lang w:val="es-ES" w:eastAsia="es-ES"/>
        </w:rPr>
        <w:t> C, después del tratamiento durante 12 horas, la dosis de proteína InsR regulada por BBR depende de las células CEM. Se obtuvieron resultados similares en otras líneas celulares (datos no mostrados).</w:t>
      </w:r>
    </w:p>
    <w:p w14:paraId="67496AE3" w14:textId="77777777" w:rsidR="00765031" w:rsidRPr="00765031" w:rsidRDefault="00765031"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p>
    <w:p w14:paraId="0696682D" w14:textId="77777777" w:rsidR="00765031" w:rsidRDefault="00765031"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765031">
        <w:rPr>
          <w:noProof/>
        </w:rPr>
        <w:drawing>
          <wp:inline distT="0" distB="0" distL="0" distR="0" wp14:anchorId="75E6B8BF" wp14:editId="2F4A65C2">
            <wp:extent cx="6645910" cy="4436110"/>
            <wp:effectExtent l="0" t="0" r="254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645910" cy="4436110"/>
                    </a:xfrm>
                    <a:prstGeom prst="rect">
                      <a:avLst/>
                    </a:prstGeom>
                  </pic:spPr>
                </pic:pic>
              </a:graphicData>
            </a:graphic>
          </wp:inline>
        </w:drawing>
      </w:r>
    </w:p>
    <w:p w14:paraId="5327346D" w14:textId="77777777" w:rsidR="00765031" w:rsidRPr="00765031" w:rsidRDefault="00765031" w:rsidP="007C0944">
      <w:pPr>
        <w:shd w:val="clear" w:color="auto" w:fill="FFFFFF"/>
        <w:spacing w:after="45" w:line="270" w:lineRule="atLeast"/>
        <w:jc w:val="both"/>
        <w:outlineLvl w:val="3"/>
        <w:rPr>
          <w:rFonts w:ascii="Georgia" w:eastAsia="Times New Roman" w:hAnsi="Georgia" w:cs="Times New Roman"/>
          <w:color w:val="333333"/>
          <w:sz w:val="21"/>
          <w:szCs w:val="21"/>
          <w:lang w:val="es-ES" w:eastAsia="es-ES"/>
        </w:rPr>
      </w:pPr>
      <w:r w:rsidRPr="00765031">
        <w:rPr>
          <w:rFonts w:ascii="Georgia" w:eastAsia="Times New Roman" w:hAnsi="Georgia" w:cs="Times New Roman"/>
          <w:color w:val="333333"/>
          <w:sz w:val="21"/>
          <w:szCs w:val="21"/>
          <w:lang w:val="es-ES" w:eastAsia="es-ES"/>
        </w:rPr>
        <w:t>Figura 1</w:t>
      </w:r>
    </w:p>
    <w:p w14:paraId="22132EA3" w14:textId="77777777" w:rsidR="00765031" w:rsidRPr="00765031" w:rsidRDefault="00765031"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765031">
        <w:rPr>
          <w:rFonts w:ascii="Helvetica" w:eastAsia="Times New Roman" w:hAnsi="Helvetica" w:cs="Helvetica"/>
          <w:color w:val="333333"/>
          <w:sz w:val="18"/>
          <w:szCs w:val="18"/>
          <w:lang w:val="es-ES" w:eastAsia="es-ES"/>
        </w:rPr>
        <w:t>Actividad reguladora de InsR-up de BBR en líneas celulares humanas. A, niveles de expresión de ARNm del receptor de insulina. Las células CEM, HCT-116, SW1990, HT1080 y 293T se trataron con vehículo (DMSO) o 10 </w:t>
      </w:r>
      <w:r w:rsidRPr="00765031">
        <w:rPr>
          <w:rFonts w:ascii="Helvetica" w:eastAsia="Times New Roman" w:hAnsi="Helvetica" w:cs="Helvetica"/>
          <w:i/>
          <w:iCs/>
          <w:color w:val="333333"/>
          <w:sz w:val="18"/>
          <w:szCs w:val="18"/>
          <w:lang w:val="es-ES" w:eastAsia="es-ES"/>
        </w:rPr>
        <w:t>μ</w:t>
      </w:r>
      <w:r w:rsidRPr="00765031">
        <w:rPr>
          <w:rFonts w:ascii="Helvetica" w:eastAsia="Times New Roman" w:hAnsi="Helvetica" w:cs="Helvetica"/>
          <w:color w:val="333333"/>
          <w:sz w:val="18"/>
          <w:szCs w:val="18"/>
          <w:lang w:val="es-ES" w:eastAsia="es-ES"/>
        </w:rPr>
        <w:t xml:space="preserve"> g / ml de BBR durante 12 horas; Los </w:t>
      </w:r>
      <w:r w:rsidRPr="00765031">
        <w:rPr>
          <w:rFonts w:ascii="Helvetica" w:eastAsia="Times New Roman" w:hAnsi="Helvetica" w:cs="Helvetica"/>
          <w:color w:val="333333"/>
          <w:sz w:val="18"/>
          <w:szCs w:val="18"/>
          <w:lang w:val="es-ES" w:eastAsia="es-ES"/>
        </w:rPr>
        <w:lastRenderedPageBreak/>
        <w:t>niveles de expresión de ARNm de InsR se determinaron por RT-PCR en tiempo real. Los niveles de ARNm del receptor de insulina se normalizaron a los de GAPDH y se representaron como pliegue del tratamiento con DMSO, que se designó como 1. Los valores son la media ± SEM de al menos 3 experimentos separados; </w:t>
      </w:r>
      <w:r w:rsidRPr="00765031">
        <w:rPr>
          <w:rFonts w:ascii="Helvetica" w:eastAsia="Times New Roman" w:hAnsi="Helvetica" w:cs="Helvetica"/>
          <w:i/>
          <w:iCs/>
          <w:color w:val="333333"/>
          <w:sz w:val="18"/>
          <w:szCs w:val="18"/>
          <w:lang w:val="es-ES" w:eastAsia="es-ES"/>
        </w:rPr>
        <w:t>P</w:t>
      </w:r>
      <w:r w:rsidRPr="00765031">
        <w:rPr>
          <w:rFonts w:ascii="Helvetica" w:eastAsia="Times New Roman" w:hAnsi="Helvetica" w:cs="Helvetica"/>
          <w:color w:val="333333"/>
          <w:sz w:val="18"/>
          <w:szCs w:val="18"/>
          <w:lang w:val="es-ES" w:eastAsia="es-ES"/>
        </w:rPr>
        <w:t> &lt;.01 comparado con el de DMSO por Student </w:t>
      </w:r>
      <w:r w:rsidRPr="00765031">
        <w:rPr>
          <w:rFonts w:ascii="Helvetica" w:eastAsia="Times New Roman" w:hAnsi="Helvetica" w:cs="Helvetica"/>
          <w:i/>
          <w:iCs/>
          <w:color w:val="333333"/>
          <w:sz w:val="18"/>
          <w:szCs w:val="18"/>
          <w:lang w:val="es-ES" w:eastAsia="es-ES"/>
        </w:rPr>
        <w:t>t</w:t>
      </w:r>
      <w:r w:rsidRPr="00765031">
        <w:rPr>
          <w:rFonts w:ascii="Helvetica" w:eastAsia="Times New Roman" w:hAnsi="Helvetica" w:cs="Helvetica"/>
          <w:noProof/>
          <w:color w:val="333333"/>
          <w:sz w:val="20"/>
          <w:szCs w:val="20"/>
          <w:vertAlign w:val="superscript"/>
          <w:lang w:val="es-ES" w:eastAsia="es-ES"/>
        </w:rPr>
        <w:drawing>
          <wp:inline distT="0" distB="0" distL="0" distR="0" wp14:anchorId="542E8C62" wp14:editId="18CC5B54">
            <wp:extent cx="85725" cy="200025"/>
            <wp:effectExtent l="0" t="0" r="9525" b="9525"/>
            <wp:docPr id="3" name="Imagen 3" descr="asterisco 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terisco baj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sidRPr="00765031">
        <w:rPr>
          <w:rFonts w:ascii="Helvetica" w:eastAsia="Times New Roman" w:hAnsi="Helvetica" w:cs="Helvetica"/>
          <w:noProof/>
          <w:color w:val="333333"/>
          <w:sz w:val="20"/>
          <w:szCs w:val="20"/>
          <w:vertAlign w:val="superscript"/>
          <w:lang w:val="es-ES" w:eastAsia="es-ES"/>
        </w:rPr>
        <w:drawing>
          <wp:inline distT="0" distB="0" distL="0" distR="0" wp14:anchorId="72D8632E" wp14:editId="7261C85B">
            <wp:extent cx="85725" cy="200025"/>
            <wp:effectExtent l="0" t="0" r="9525" b="9525"/>
            <wp:docPr id="4" name="Imagen 4" descr="asterisco 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terisco baj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sidRPr="00765031">
        <w:rPr>
          <w:rFonts w:ascii="Helvetica" w:eastAsia="Times New Roman" w:hAnsi="Helvetica" w:cs="Helvetica"/>
          <w:color w:val="333333"/>
          <w:sz w:val="18"/>
          <w:szCs w:val="18"/>
          <w:lang w:val="es-ES" w:eastAsia="es-ES"/>
        </w:rPr>
        <w:t>prueba. B, citometría de flujo. Después del tratamiento, la expresión de la proteína InsR en la superficie celular se determinó por citometría de flujo usando un anticuerpo monoclonal de ratón contra InsR. Se usó IgG de ratón normal como control para la fluorescencia de fondo. C, mancha occidental. Las células CEM se trataron con BBR a diferentes concentraciones durante 12 horas. Las células se lisaron y las proteínas se extrajeron como se describe en " </w:t>
      </w:r>
      <w:hyperlink r:id="rId38" w:anchor="sec1" w:history="1">
        <w:r w:rsidRPr="00765031">
          <w:rPr>
            <w:rFonts w:ascii="Helvetica" w:eastAsia="Times New Roman" w:hAnsi="Helvetica" w:cs="Helvetica"/>
            <w:color w:val="336699"/>
            <w:sz w:val="18"/>
            <w:szCs w:val="18"/>
            <w:u w:val="single"/>
            <w:lang w:val="es-ES" w:eastAsia="es-ES"/>
          </w:rPr>
          <w:t>Materiales y métodos</w:t>
        </w:r>
      </w:hyperlink>
      <w:r w:rsidRPr="00765031">
        <w:rPr>
          <w:rFonts w:ascii="Helvetica" w:eastAsia="Times New Roman" w:hAnsi="Helvetica" w:cs="Helvetica"/>
          <w:color w:val="333333"/>
          <w:sz w:val="18"/>
          <w:szCs w:val="18"/>
          <w:lang w:val="es-ES" w:eastAsia="es-ES"/>
        </w:rPr>
        <w:t> ". El nivel de expresión de la subunidad </w:t>
      </w:r>
      <w:r w:rsidRPr="00765031">
        <w:rPr>
          <w:rFonts w:ascii="Helvetica" w:eastAsia="Times New Roman" w:hAnsi="Helvetica" w:cs="Helvetica"/>
          <w:i/>
          <w:iCs/>
          <w:color w:val="333333"/>
          <w:sz w:val="18"/>
          <w:szCs w:val="18"/>
          <w:lang w:val="es-ES" w:eastAsia="es-ES"/>
        </w:rPr>
        <w:t>β</w:t>
      </w:r>
      <w:r w:rsidRPr="00765031">
        <w:rPr>
          <w:rFonts w:ascii="Helvetica" w:eastAsia="Times New Roman" w:hAnsi="Helvetica" w:cs="Helvetica"/>
          <w:color w:val="333333"/>
          <w:sz w:val="18"/>
          <w:szCs w:val="18"/>
          <w:lang w:val="es-ES" w:eastAsia="es-ES"/>
        </w:rPr>
        <w:t> de InsR se examinó mediante transferencia Western usando un anticuerpo monoclonal de ratón con GAPDH como control interno.</w:t>
      </w:r>
    </w:p>
    <w:p w14:paraId="54F0F26A" w14:textId="77777777" w:rsidR="00765031" w:rsidRPr="00765031" w:rsidRDefault="00765031" w:rsidP="007C0944">
      <w:pPr>
        <w:shd w:val="clear" w:color="auto" w:fill="FFFFFF"/>
        <w:spacing w:after="288" w:line="360" w:lineRule="atLeast"/>
        <w:jc w:val="both"/>
        <w:rPr>
          <w:rFonts w:ascii="Helvetica" w:hAnsi="Helvetica" w:cs="Helvetica"/>
          <w:color w:val="333333"/>
          <w:sz w:val="18"/>
          <w:szCs w:val="18"/>
          <w:shd w:val="clear" w:color="auto" w:fill="FFFFFF"/>
        </w:rPr>
      </w:pPr>
      <w:r>
        <w:rPr>
          <w:rFonts w:ascii="Helvetica" w:hAnsi="Helvetica" w:cs="Helvetica"/>
          <w:color w:val="333333"/>
          <w:sz w:val="18"/>
          <w:szCs w:val="18"/>
          <w:shd w:val="clear" w:color="auto" w:fill="FFFFFF"/>
        </w:rPr>
        <w:t>A continuación, determinamos el efecto de BBR en la señalización de insulina en células CEM. Como se muestra en la </w:t>
      </w:r>
      <w:hyperlink r:id="rId39" w:tgtFrame="_blank" w:history="1">
        <w:r>
          <w:rPr>
            <w:rStyle w:val="Hipervnculo"/>
            <w:rFonts w:ascii="Helvetica" w:hAnsi="Helvetica" w:cs="Helvetica"/>
            <w:color w:val="336699"/>
            <w:sz w:val="18"/>
            <w:szCs w:val="18"/>
            <w:shd w:val="clear" w:color="auto" w:fill="FFFFFF"/>
          </w:rPr>
          <w:t>Fig. 2</w:t>
        </w:r>
      </w:hyperlink>
      <w:r>
        <w:rPr>
          <w:rFonts w:ascii="Helvetica" w:hAnsi="Helvetica" w:cs="Helvetica"/>
          <w:color w:val="333333"/>
          <w:sz w:val="18"/>
          <w:szCs w:val="18"/>
          <w:shd w:val="clear" w:color="auto" w:fill="FFFFFF"/>
        </w:rPr>
        <w:t xml:space="preserve"> , ni BBR solo ni 0.5 nmol / L de insulina tuvieron ningún impacto observado en la señalización de insulina. Sin embargo, cuando se añadieron 0,5 nmol / L de insulina a las células que ya habían sido tratadas con BBR durante 12 horas, se activó la vía de señalización de la insulina. Observamos que BBR no cambió el nivel de proteína </w:t>
      </w:r>
      <w:proofErr w:type="spellStart"/>
      <w:r>
        <w:rPr>
          <w:rFonts w:ascii="Helvetica" w:hAnsi="Helvetica" w:cs="Helvetica"/>
          <w:color w:val="333333"/>
          <w:sz w:val="18"/>
          <w:szCs w:val="18"/>
          <w:shd w:val="clear" w:color="auto" w:fill="FFFFFF"/>
        </w:rPr>
        <w:t>Akt</w:t>
      </w:r>
      <w:proofErr w:type="spellEnd"/>
      <w:r>
        <w:rPr>
          <w:rFonts w:ascii="Helvetica" w:hAnsi="Helvetica" w:cs="Helvetica"/>
          <w:color w:val="333333"/>
          <w:sz w:val="18"/>
          <w:szCs w:val="18"/>
          <w:shd w:val="clear" w:color="auto" w:fill="FFFFFF"/>
        </w:rPr>
        <w:t>; 0,5 nmol / L de insulina más BBR aumentaron las fosforilaciones de la subunidad </w:t>
      </w:r>
      <w:r>
        <w:rPr>
          <w:rStyle w:val="nfasis"/>
          <w:rFonts w:ascii="Helvetica" w:hAnsi="Helvetica" w:cs="Helvetica"/>
          <w:color w:val="333333"/>
          <w:sz w:val="18"/>
          <w:szCs w:val="18"/>
          <w:shd w:val="clear" w:color="auto" w:fill="FFFFFF"/>
        </w:rPr>
        <w:t>β</w:t>
      </w:r>
      <w:r>
        <w:rPr>
          <w:rFonts w:ascii="Helvetica" w:hAnsi="Helvetica" w:cs="Helvetica"/>
          <w:color w:val="333333"/>
          <w:sz w:val="18"/>
          <w:szCs w:val="18"/>
          <w:shd w:val="clear" w:color="auto" w:fill="FFFFFF"/>
        </w:rPr>
        <w:t xml:space="preserve"> de InsR y </w:t>
      </w:r>
      <w:proofErr w:type="spellStart"/>
      <w:r>
        <w:rPr>
          <w:rFonts w:ascii="Helvetica" w:hAnsi="Helvetica" w:cs="Helvetica"/>
          <w:color w:val="333333"/>
          <w:sz w:val="18"/>
          <w:szCs w:val="18"/>
          <w:shd w:val="clear" w:color="auto" w:fill="FFFFFF"/>
        </w:rPr>
        <w:t>Akt</w:t>
      </w:r>
      <w:proofErr w:type="spellEnd"/>
      <w:r>
        <w:rPr>
          <w:rFonts w:ascii="Helvetica" w:hAnsi="Helvetica" w:cs="Helvetica"/>
          <w:color w:val="333333"/>
          <w:sz w:val="18"/>
          <w:szCs w:val="18"/>
          <w:shd w:val="clear" w:color="auto" w:fill="FFFFFF"/>
        </w:rPr>
        <w:t xml:space="preserve"> significativamente y cerca de las de 10 nmol / L de tratamiento con insulina.</w:t>
      </w:r>
    </w:p>
    <w:p w14:paraId="3A90A61F" w14:textId="77777777" w:rsidR="00765031" w:rsidRDefault="00765031" w:rsidP="007C0944">
      <w:pPr>
        <w:spacing w:after="288" w:line="360" w:lineRule="atLeast"/>
        <w:jc w:val="both"/>
        <w:rPr>
          <w:rFonts w:ascii="Helvetica" w:eastAsia="Times New Roman" w:hAnsi="Helvetica" w:cs="Helvetica"/>
          <w:color w:val="333333"/>
          <w:sz w:val="18"/>
          <w:szCs w:val="18"/>
          <w:lang w:val="es-ES" w:eastAsia="es-ES"/>
        </w:rPr>
      </w:pPr>
      <w:r>
        <w:rPr>
          <w:rFonts w:ascii="Helvetica" w:eastAsia="Times New Roman" w:hAnsi="Helvetica" w:cs="Helvetica"/>
          <w:color w:val="333333"/>
          <w:sz w:val="18"/>
          <w:szCs w:val="18"/>
          <w:lang w:val="es-ES" w:eastAsia="es-ES"/>
        </w:rPr>
        <w:t xml:space="preserve">                                          </w:t>
      </w:r>
      <w:r w:rsidRPr="00765031">
        <w:rPr>
          <w:noProof/>
        </w:rPr>
        <w:drawing>
          <wp:inline distT="0" distB="0" distL="0" distR="0" wp14:anchorId="2C503396" wp14:editId="1BD7C3F5">
            <wp:extent cx="3228975" cy="12668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228975" cy="1266825"/>
                    </a:xfrm>
                    <a:prstGeom prst="rect">
                      <a:avLst/>
                    </a:prstGeom>
                  </pic:spPr>
                </pic:pic>
              </a:graphicData>
            </a:graphic>
          </wp:inline>
        </w:drawing>
      </w:r>
    </w:p>
    <w:p w14:paraId="5A41D664" w14:textId="77777777" w:rsidR="00765031" w:rsidRDefault="00765031" w:rsidP="007C0944">
      <w:pPr>
        <w:pStyle w:val="caption-title"/>
        <w:shd w:val="clear" w:color="auto" w:fill="EFEFEF"/>
        <w:spacing w:before="0" w:beforeAutospacing="0" w:after="120" w:afterAutospacing="0"/>
        <w:jc w:val="both"/>
        <w:rPr>
          <w:rFonts w:ascii="Helvetica" w:hAnsi="Helvetica" w:cs="Helvetica"/>
          <w:b/>
          <w:bCs/>
          <w:color w:val="000000"/>
          <w:sz w:val="18"/>
          <w:szCs w:val="18"/>
        </w:rPr>
      </w:pPr>
      <w:r>
        <w:rPr>
          <w:rStyle w:val="label"/>
          <w:rFonts w:ascii="Helvetica" w:hAnsi="Helvetica" w:cs="Helvetica"/>
          <w:b/>
          <w:bCs/>
          <w:color w:val="000000"/>
          <w:sz w:val="18"/>
          <w:szCs w:val="18"/>
        </w:rPr>
        <w:t>Figura 2</w:t>
      </w:r>
    </w:p>
    <w:p w14:paraId="2ACAA015" w14:textId="77777777" w:rsidR="00765031" w:rsidRDefault="00765031" w:rsidP="007C0944">
      <w:pPr>
        <w:pStyle w:val="NormalWeb"/>
        <w:shd w:val="clear" w:color="auto" w:fill="EFEFEF"/>
        <w:spacing w:before="0" w:beforeAutospacing="0" w:after="288" w:afterAutospacing="0" w:line="336" w:lineRule="atLeast"/>
        <w:jc w:val="both"/>
        <w:rPr>
          <w:rFonts w:ascii="Helvetica" w:hAnsi="Helvetica" w:cs="Helvetica"/>
          <w:color w:val="000000"/>
          <w:sz w:val="18"/>
          <w:szCs w:val="18"/>
        </w:rPr>
      </w:pPr>
      <w:r>
        <w:rPr>
          <w:rFonts w:ascii="Helvetica" w:hAnsi="Helvetica" w:cs="Helvetica"/>
          <w:color w:val="000000"/>
          <w:sz w:val="18"/>
          <w:szCs w:val="18"/>
        </w:rPr>
        <w:t>Efectos de BBR en la señalización de insulina en células CEM. Las células CEM se dejaron sin tratar o se trataron con 10 </w:t>
      </w:r>
      <w:r>
        <w:rPr>
          <w:rStyle w:val="nfasis"/>
          <w:rFonts w:ascii="Helvetica" w:hAnsi="Helvetica" w:cs="Helvetica"/>
          <w:color w:val="000000"/>
          <w:sz w:val="18"/>
          <w:szCs w:val="18"/>
        </w:rPr>
        <w:t>μ</w:t>
      </w:r>
      <w:r>
        <w:rPr>
          <w:rFonts w:ascii="Helvetica" w:hAnsi="Helvetica" w:cs="Helvetica"/>
          <w:color w:val="000000"/>
          <w:sz w:val="18"/>
          <w:szCs w:val="18"/>
        </w:rPr>
        <w:t xml:space="preserve"> g / ml de BBR durante 12 horas, y luego se agregaron 0.5 o 10 nmol / L de insulina. Las células se incubaron durante 15 minutos adicionales y se cosecharon. Las proteínas se extrajeron y se sometieron a electroforesis en gel de poliacrilamida con dodecilsulfato de sodio; Los niveles de </w:t>
      </w:r>
      <w:proofErr w:type="spellStart"/>
      <w:r>
        <w:rPr>
          <w:rFonts w:ascii="Helvetica" w:hAnsi="Helvetica" w:cs="Helvetica"/>
          <w:color w:val="000000"/>
          <w:sz w:val="18"/>
          <w:szCs w:val="18"/>
        </w:rPr>
        <w:t>Akt</w:t>
      </w:r>
      <w:proofErr w:type="spellEnd"/>
      <w:r>
        <w:rPr>
          <w:rFonts w:ascii="Helvetica" w:hAnsi="Helvetica" w:cs="Helvetica"/>
          <w:color w:val="000000"/>
          <w:sz w:val="18"/>
          <w:szCs w:val="18"/>
        </w:rPr>
        <w:t>, Ser473-Akt fosforilada y Tyr1361-fosforilada InsR </w:t>
      </w:r>
      <w:r>
        <w:rPr>
          <w:rStyle w:val="nfasis"/>
          <w:rFonts w:ascii="Helvetica" w:hAnsi="Helvetica" w:cs="Helvetica"/>
          <w:color w:val="000000"/>
          <w:sz w:val="18"/>
          <w:szCs w:val="18"/>
        </w:rPr>
        <w:t>β-</w:t>
      </w:r>
      <w:r>
        <w:rPr>
          <w:rFonts w:ascii="Helvetica" w:hAnsi="Helvetica" w:cs="Helvetica"/>
          <w:color w:val="000000"/>
          <w:sz w:val="18"/>
          <w:szCs w:val="18"/>
        </w:rPr>
        <w:t xml:space="preserve"> subunidad fueron examinados por Western </w:t>
      </w:r>
      <w:proofErr w:type="spellStart"/>
      <w:r>
        <w:rPr>
          <w:rFonts w:ascii="Helvetica" w:hAnsi="Helvetica" w:cs="Helvetica"/>
          <w:color w:val="000000"/>
          <w:sz w:val="18"/>
          <w:szCs w:val="18"/>
        </w:rPr>
        <w:t>blot</w:t>
      </w:r>
      <w:proofErr w:type="spellEnd"/>
      <w:r>
        <w:rPr>
          <w:rFonts w:ascii="Helvetica" w:hAnsi="Helvetica" w:cs="Helvetica"/>
          <w:color w:val="000000"/>
          <w:sz w:val="18"/>
          <w:szCs w:val="18"/>
        </w:rPr>
        <w:t xml:space="preserve"> utilizando anticuerpos específicos como se describe en " </w:t>
      </w:r>
      <w:hyperlink r:id="rId41" w:anchor="sec1" w:history="1">
        <w:r>
          <w:rPr>
            <w:rStyle w:val="Hipervnculo"/>
            <w:rFonts w:ascii="Helvetica" w:hAnsi="Helvetica" w:cs="Helvetica"/>
            <w:color w:val="336699"/>
            <w:sz w:val="18"/>
            <w:szCs w:val="18"/>
          </w:rPr>
          <w:t>Materiales y métodos</w:t>
        </w:r>
      </w:hyperlink>
      <w:r>
        <w:rPr>
          <w:rFonts w:ascii="Helvetica" w:hAnsi="Helvetica" w:cs="Helvetica"/>
          <w:color w:val="000000"/>
          <w:sz w:val="18"/>
          <w:szCs w:val="18"/>
        </w:rPr>
        <w:t> ".</w:t>
      </w:r>
    </w:p>
    <w:p w14:paraId="3A6C12BB" w14:textId="77777777" w:rsidR="00765031" w:rsidRDefault="00765031" w:rsidP="007C0944">
      <w:pPr>
        <w:shd w:val="clear" w:color="auto" w:fill="FFFFFF"/>
        <w:spacing w:after="45" w:line="270" w:lineRule="atLeast"/>
        <w:jc w:val="both"/>
        <w:outlineLvl w:val="2"/>
        <w:rPr>
          <w:rFonts w:ascii="Georgia" w:eastAsia="Times New Roman" w:hAnsi="Georgia" w:cs="Times New Roman"/>
          <w:color w:val="333333"/>
          <w:sz w:val="27"/>
          <w:szCs w:val="27"/>
          <w:lang w:val="es-ES" w:eastAsia="es-ES"/>
        </w:rPr>
      </w:pPr>
    </w:p>
    <w:p w14:paraId="5F176640" w14:textId="77777777" w:rsidR="00765031" w:rsidRPr="00765031" w:rsidRDefault="00765031" w:rsidP="007C0944">
      <w:pPr>
        <w:shd w:val="clear" w:color="auto" w:fill="FFFFFF"/>
        <w:spacing w:after="45" w:line="270" w:lineRule="atLeast"/>
        <w:jc w:val="both"/>
        <w:outlineLvl w:val="2"/>
        <w:rPr>
          <w:rFonts w:ascii="Georgia" w:eastAsia="Times New Roman" w:hAnsi="Georgia" w:cs="Times New Roman"/>
          <w:color w:val="333333"/>
          <w:sz w:val="27"/>
          <w:szCs w:val="27"/>
          <w:lang w:val="es-ES" w:eastAsia="es-ES"/>
        </w:rPr>
      </w:pPr>
      <w:r w:rsidRPr="00765031">
        <w:rPr>
          <w:rFonts w:ascii="Georgia" w:eastAsia="Times New Roman" w:hAnsi="Georgia" w:cs="Times New Roman"/>
          <w:color w:val="333333"/>
          <w:sz w:val="27"/>
          <w:szCs w:val="27"/>
          <w:lang w:val="es-ES" w:eastAsia="es-ES"/>
        </w:rPr>
        <w:t>BBR reduce la glucosa en sangre y aumenta la expresión de InsR en pacientes con DM2</w:t>
      </w:r>
    </w:p>
    <w:p w14:paraId="1FBA88AF" w14:textId="19C2CDD1" w:rsidR="00765031" w:rsidRDefault="00765031"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765031">
        <w:rPr>
          <w:rFonts w:ascii="Helvetica" w:eastAsia="Times New Roman" w:hAnsi="Helvetica" w:cs="Helvetica"/>
          <w:color w:val="333333"/>
          <w:sz w:val="18"/>
          <w:szCs w:val="18"/>
          <w:lang w:val="es-ES" w:eastAsia="es-ES"/>
        </w:rPr>
        <w:t>Para conocer la eficacia de BBR con respecto a los fármacos hipoglucemiantes conocidos, se realizó un estudio clínico. Noventa y siete pacientes con DM2 según los criterios diagnósticos de la Asociación Americana de Diabetes se inscribieron en este estudio. No se incluyó ningún grupo placebo para evitar la aceleración del progreso de la enfermedad. En cambio, el tratamiento estándar de DM2 con metformina y rosiglitazona sirvió como control de referencia. La terapia con berberina (1 g / día durante 2 meses) redujo significativamente la FBG en un 25.9% ( </w:t>
      </w:r>
      <w:r w:rsidRPr="00765031">
        <w:rPr>
          <w:rFonts w:ascii="Helvetica" w:eastAsia="Times New Roman" w:hAnsi="Helvetica" w:cs="Helvetica"/>
          <w:i/>
          <w:iCs/>
          <w:color w:val="333333"/>
          <w:sz w:val="18"/>
          <w:szCs w:val="18"/>
          <w:lang w:val="es-ES" w:eastAsia="es-ES"/>
        </w:rPr>
        <w:t>P</w:t>
      </w:r>
      <w:r w:rsidRPr="00765031">
        <w:rPr>
          <w:rFonts w:ascii="Helvetica" w:eastAsia="Times New Roman" w:hAnsi="Helvetica" w:cs="Helvetica"/>
          <w:color w:val="333333"/>
          <w:sz w:val="18"/>
          <w:szCs w:val="18"/>
          <w:lang w:val="es-ES" w:eastAsia="es-ES"/>
        </w:rPr>
        <w:t> &lt;.001), HbA </w:t>
      </w:r>
      <w:r w:rsidRPr="00765031">
        <w:rPr>
          <w:rFonts w:ascii="Helvetica" w:eastAsia="Times New Roman" w:hAnsi="Helvetica" w:cs="Helvetica"/>
          <w:color w:val="333333"/>
          <w:sz w:val="20"/>
          <w:szCs w:val="20"/>
          <w:vertAlign w:val="subscript"/>
          <w:lang w:val="es-ES" w:eastAsia="es-ES"/>
        </w:rPr>
        <w:t>1c</w:t>
      </w:r>
      <w:r w:rsidRPr="00765031">
        <w:rPr>
          <w:rFonts w:ascii="Helvetica" w:eastAsia="Times New Roman" w:hAnsi="Helvetica" w:cs="Helvetica"/>
          <w:color w:val="333333"/>
          <w:sz w:val="18"/>
          <w:szCs w:val="18"/>
          <w:lang w:val="es-ES" w:eastAsia="es-ES"/>
        </w:rPr>
        <w:t> en un 18.1% ( </w:t>
      </w:r>
      <w:r w:rsidRPr="00765031">
        <w:rPr>
          <w:rFonts w:ascii="Helvetica" w:eastAsia="Times New Roman" w:hAnsi="Helvetica" w:cs="Helvetica"/>
          <w:i/>
          <w:iCs/>
          <w:color w:val="333333"/>
          <w:sz w:val="18"/>
          <w:szCs w:val="18"/>
          <w:lang w:val="es-ES" w:eastAsia="es-ES"/>
        </w:rPr>
        <w:t>P</w:t>
      </w:r>
      <w:r w:rsidRPr="00765031">
        <w:rPr>
          <w:rFonts w:ascii="Helvetica" w:eastAsia="Times New Roman" w:hAnsi="Helvetica" w:cs="Helvetica"/>
          <w:color w:val="333333"/>
          <w:sz w:val="18"/>
          <w:szCs w:val="18"/>
          <w:lang w:val="es-ES" w:eastAsia="es-ES"/>
        </w:rPr>
        <w:t> &lt;.001) y TG en un 17.6% ( </w:t>
      </w:r>
      <w:r w:rsidRPr="00765031">
        <w:rPr>
          <w:rFonts w:ascii="Helvetica" w:eastAsia="Times New Roman" w:hAnsi="Helvetica" w:cs="Helvetica"/>
          <w:i/>
          <w:iCs/>
          <w:color w:val="333333"/>
          <w:sz w:val="18"/>
          <w:szCs w:val="18"/>
          <w:lang w:val="es-ES" w:eastAsia="es-ES"/>
        </w:rPr>
        <w:t>P</w:t>
      </w:r>
      <w:r w:rsidRPr="00765031">
        <w:rPr>
          <w:rFonts w:ascii="Helvetica" w:eastAsia="Times New Roman" w:hAnsi="Helvetica" w:cs="Helvetica"/>
          <w:color w:val="333333"/>
          <w:sz w:val="18"/>
          <w:szCs w:val="18"/>
          <w:lang w:val="es-ES" w:eastAsia="es-ES"/>
        </w:rPr>
        <w:t> &lt;.01) en comparación con valores antes del tratamiento ( </w:t>
      </w:r>
      <w:hyperlink r:id="rId42" w:anchor="tbl1" w:history="1">
        <w:r w:rsidRPr="00765031">
          <w:rPr>
            <w:rFonts w:ascii="Helvetica" w:eastAsia="Times New Roman" w:hAnsi="Helvetica" w:cs="Helvetica"/>
            <w:color w:val="336699"/>
            <w:sz w:val="18"/>
            <w:szCs w:val="18"/>
            <w:u w:val="single"/>
            <w:lang w:val="es-ES" w:eastAsia="es-ES"/>
          </w:rPr>
          <w:t>tabla 1</w:t>
        </w:r>
      </w:hyperlink>
      <w:r w:rsidRPr="00765031">
        <w:rPr>
          <w:rFonts w:ascii="Helvetica" w:eastAsia="Times New Roman" w:hAnsi="Helvetica" w:cs="Helvetica"/>
          <w:color w:val="333333"/>
          <w:sz w:val="18"/>
          <w:szCs w:val="18"/>
          <w:lang w:val="es-ES" w:eastAsia="es-ES"/>
        </w:rPr>
        <w:t> ). El FBG- y HbA </w:t>
      </w:r>
      <w:r w:rsidRPr="00765031">
        <w:rPr>
          <w:rFonts w:ascii="Helvetica" w:eastAsia="Times New Roman" w:hAnsi="Helvetica" w:cs="Helvetica"/>
          <w:color w:val="333333"/>
          <w:sz w:val="20"/>
          <w:szCs w:val="20"/>
          <w:vertAlign w:val="subscript"/>
          <w:lang w:val="es-ES" w:eastAsia="es-ES"/>
        </w:rPr>
        <w:t>1c</w:t>
      </w:r>
      <w:r w:rsidRPr="00765031">
        <w:rPr>
          <w:rFonts w:ascii="Helvetica" w:eastAsia="Times New Roman" w:hAnsi="Helvetica" w:cs="Helvetica"/>
          <w:color w:val="333333"/>
          <w:sz w:val="18"/>
          <w:szCs w:val="18"/>
          <w:lang w:val="es-ES" w:eastAsia="es-ES"/>
        </w:rPr>
        <w:t>Las bajas eficacia de BBR fueron cercanas a las de metformina y rosiglitazona. Después de 2 meses de tratamiento, 1,5 g / d de metformina redujo la FBG y la HbA </w:t>
      </w:r>
      <w:r w:rsidRPr="00765031">
        <w:rPr>
          <w:rFonts w:ascii="Helvetica" w:eastAsia="Times New Roman" w:hAnsi="Helvetica" w:cs="Helvetica"/>
          <w:color w:val="333333"/>
          <w:sz w:val="20"/>
          <w:szCs w:val="20"/>
          <w:vertAlign w:val="subscript"/>
          <w:lang w:val="es-ES" w:eastAsia="es-ES"/>
        </w:rPr>
        <w:t>1c</w:t>
      </w:r>
      <w:r w:rsidRPr="00765031">
        <w:rPr>
          <w:rFonts w:ascii="Helvetica" w:eastAsia="Times New Roman" w:hAnsi="Helvetica" w:cs="Helvetica"/>
          <w:color w:val="333333"/>
          <w:sz w:val="18"/>
          <w:szCs w:val="18"/>
          <w:lang w:val="es-ES" w:eastAsia="es-ES"/>
        </w:rPr>
        <w:t xml:space="preserve"> en un 30,3% y un 23,4% </w:t>
      </w:r>
      <w:proofErr w:type="gramStart"/>
      <w:r w:rsidRPr="00765031">
        <w:rPr>
          <w:rFonts w:ascii="Helvetica" w:eastAsia="Times New Roman" w:hAnsi="Helvetica" w:cs="Helvetica"/>
          <w:color w:val="333333"/>
          <w:sz w:val="18"/>
          <w:szCs w:val="18"/>
          <w:lang w:val="es-ES" w:eastAsia="es-ES"/>
        </w:rPr>
        <w:t>( </w:t>
      </w:r>
      <w:r w:rsidRPr="00765031">
        <w:rPr>
          <w:rFonts w:ascii="Helvetica" w:eastAsia="Times New Roman" w:hAnsi="Helvetica" w:cs="Helvetica"/>
          <w:i/>
          <w:iCs/>
          <w:color w:val="333333"/>
          <w:sz w:val="18"/>
          <w:szCs w:val="18"/>
          <w:lang w:val="es-ES" w:eastAsia="es-ES"/>
        </w:rPr>
        <w:t>p</w:t>
      </w:r>
      <w:proofErr w:type="gramEnd"/>
      <w:r w:rsidRPr="00765031">
        <w:rPr>
          <w:rFonts w:ascii="Helvetica" w:eastAsia="Times New Roman" w:hAnsi="Helvetica" w:cs="Helvetica"/>
          <w:color w:val="333333"/>
          <w:sz w:val="18"/>
          <w:szCs w:val="18"/>
          <w:lang w:val="es-ES" w:eastAsia="es-ES"/>
        </w:rPr>
        <w:t> &lt;0,001); 4 mg / d de rosiglitazona redujeron FBG y HbA </w:t>
      </w:r>
      <w:r w:rsidRPr="00765031">
        <w:rPr>
          <w:rFonts w:ascii="Helvetica" w:eastAsia="Times New Roman" w:hAnsi="Helvetica" w:cs="Helvetica"/>
          <w:color w:val="333333"/>
          <w:sz w:val="20"/>
          <w:szCs w:val="20"/>
          <w:vertAlign w:val="subscript"/>
          <w:lang w:val="es-ES" w:eastAsia="es-ES"/>
        </w:rPr>
        <w:t>1c</w:t>
      </w:r>
      <w:r w:rsidRPr="00765031">
        <w:rPr>
          <w:rFonts w:ascii="Helvetica" w:eastAsia="Times New Roman" w:hAnsi="Helvetica" w:cs="Helvetica"/>
          <w:color w:val="333333"/>
          <w:sz w:val="18"/>
          <w:szCs w:val="18"/>
          <w:lang w:val="es-ES" w:eastAsia="es-ES"/>
        </w:rPr>
        <w:t> en un 17,6% y 18,1% ( </w:t>
      </w:r>
      <w:r w:rsidRPr="00765031">
        <w:rPr>
          <w:rFonts w:ascii="Helvetica" w:eastAsia="Times New Roman" w:hAnsi="Helvetica" w:cs="Helvetica"/>
          <w:i/>
          <w:iCs/>
          <w:color w:val="333333"/>
          <w:sz w:val="18"/>
          <w:szCs w:val="18"/>
          <w:lang w:val="es-ES" w:eastAsia="es-ES"/>
        </w:rPr>
        <w:t>P</w:t>
      </w:r>
      <w:r w:rsidRPr="00765031">
        <w:rPr>
          <w:rFonts w:ascii="Helvetica" w:eastAsia="Times New Roman" w:hAnsi="Helvetica" w:cs="Helvetica"/>
          <w:color w:val="333333"/>
          <w:sz w:val="18"/>
          <w:szCs w:val="18"/>
          <w:lang w:val="es-ES" w:eastAsia="es-ES"/>
        </w:rPr>
        <w:t> &lt;0,01), respectivamente. En comparación con BBR, metformina y rosiglitazona tuvieron menos efecto sobre el nivel sérico de TG. No se observaron efectos adversos en los pacientes tratados con BBR.</w:t>
      </w:r>
    </w:p>
    <w:p w14:paraId="615E82AC" w14:textId="77777777" w:rsidR="007C0944" w:rsidRPr="00765031" w:rsidRDefault="007C0944"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p>
    <w:tbl>
      <w:tblPr>
        <w:tblW w:w="0" w:type="auto"/>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339"/>
        <w:gridCol w:w="1916"/>
        <w:gridCol w:w="1518"/>
        <w:gridCol w:w="2275"/>
        <w:gridCol w:w="2418"/>
      </w:tblGrid>
      <w:tr w:rsidR="00765031" w:rsidRPr="00765031" w14:paraId="2238C901" w14:textId="77777777" w:rsidTr="00765031">
        <w:trPr>
          <w:tblCellSpacing w:w="15" w:type="dxa"/>
        </w:trPr>
        <w:tc>
          <w:tcPr>
            <w:tcW w:w="0" w:type="auto"/>
            <w:gridSpan w:val="5"/>
            <w:tcBorders>
              <w:top w:val="nil"/>
              <w:left w:val="nil"/>
              <w:bottom w:val="nil"/>
              <w:right w:val="nil"/>
            </w:tcBorders>
            <w:shd w:val="clear" w:color="auto" w:fill="B9CADC"/>
            <w:tcMar>
              <w:top w:w="105" w:type="dxa"/>
              <w:left w:w="105" w:type="dxa"/>
              <w:bottom w:w="105" w:type="dxa"/>
              <w:right w:w="105" w:type="dxa"/>
            </w:tcMar>
            <w:vAlign w:val="center"/>
            <w:hideMark/>
          </w:tcPr>
          <w:p w14:paraId="521A5679" w14:textId="77777777" w:rsidR="009D0AE0" w:rsidRDefault="00765031" w:rsidP="007C0944">
            <w:pPr>
              <w:jc w:val="both"/>
              <w:rPr>
                <w:b/>
                <w:bCs/>
                <w:lang w:val="es-ES"/>
              </w:rPr>
            </w:pPr>
            <w:r w:rsidRPr="00765031">
              <w:rPr>
                <w:b/>
                <w:bCs/>
                <w:lang w:val="es-ES"/>
              </w:rPr>
              <w:lastRenderedPageBreak/>
              <w:t>Tabla 1</w:t>
            </w:r>
          </w:p>
          <w:p w14:paraId="577442F0" w14:textId="77777777" w:rsidR="00765031" w:rsidRPr="00765031" w:rsidRDefault="00765031" w:rsidP="007C0944">
            <w:pPr>
              <w:jc w:val="both"/>
              <w:rPr>
                <w:lang w:val="es-ES"/>
              </w:rPr>
            </w:pPr>
            <w:r w:rsidRPr="00765031">
              <w:rPr>
                <w:lang w:val="es-ES"/>
              </w:rPr>
              <w:t>Efectos de BBR, metformina y rosiglitazona en pacientes con DM2</w:t>
            </w:r>
          </w:p>
        </w:tc>
      </w:tr>
      <w:tr w:rsidR="00765031" w:rsidRPr="00765031" w14:paraId="425FE82A" w14:textId="77777777" w:rsidTr="00765031">
        <w:trPr>
          <w:tblCellSpacing w:w="15" w:type="dxa"/>
        </w:trPr>
        <w:tc>
          <w:tcPr>
            <w:tcW w:w="0" w:type="auto"/>
            <w:tcBorders>
              <w:bottom w:val="single" w:sz="6" w:space="0" w:color="CCCCCC"/>
            </w:tcBorders>
            <w:shd w:val="clear" w:color="auto" w:fill="B9CADC"/>
            <w:tcMar>
              <w:top w:w="105" w:type="dxa"/>
              <w:left w:w="105" w:type="dxa"/>
              <w:bottom w:w="105" w:type="dxa"/>
              <w:right w:w="105" w:type="dxa"/>
            </w:tcMar>
            <w:vAlign w:val="bottom"/>
            <w:hideMark/>
          </w:tcPr>
          <w:p w14:paraId="778400B4" w14:textId="77777777" w:rsidR="00765031" w:rsidRPr="00765031" w:rsidRDefault="00765031" w:rsidP="007C0944">
            <w:pPr>
              <w:jc w:val="both"/>
              <w:rPr>
                <w:b/>
                <w:bCs/>
                <w:lang w:val="es-ES"/>
              </w:rPr>
            </w:pPr>
            <w:r w:rsidRPr="00765031">
              <w:rPr>
                <w:b/>
                <w:bCs/>
                <w:lang w:val="es-ES"/>
              </w:rPr>
              <w:t>Medición (rango de referencia)</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14:paraId="1E1BF553" w14:textId="77777777" w:rsidR="00765031" w:rsidRPr="00765031" w:rsidRDefault="00765031" w:rsidP="007C0944">
            <w:pPr>
              <w:jc w:val="both"/>
              <w:rPr>
                <w:b/>
                <w:bCs/>
                <w:lang w:val="es-ES"/>
              </w:rPr>
            </w:pPr>
            <w:r w:rsidRPr="00765031">
              <w:rPr>
                <w:b/>
                <w:bCs/>
                <w:lang w:val="es-ES"/>
              </w:rPr>
              <w:t>Tratamiento (2 meses)</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14:paraId="319F356A" w14:textId="77777777" w:rsidR="00765031" w:rsidRPr="00765031" w:rsidRDefault="00765031" w:rsidP="007C0944">
            <w:pPr>
              <w:jc w:val="both"/>
              <w:rPr>
                <w:b/>
                <w:bCs/>
                <w:lang w:val="es-ES"/>
              </w:rPr>
            </w:pPr>
            <w:r w:rsidRPr="00765031">
              <w:rPr>
                <w:b/>
                <w:bCs/>
                <w:lang w:val="es-ES"/>
              </w:rPr>
              <w:t>BBR (1 g / d, n = 50)</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14:paraId="43D0E931" w14:textId="77777777" w:rsidR="00765031" w:rsidRPr="00765031" w:rsidRDefault="00765031" w:rsidP="007C0944">
            <w:pPr>
              <w:jc w:val="both"/>
              <w:rPr>
                <w:b/>
                <w:bCs/>
                <w:lang w:val="es-ES"/>
              </w:rPr>
            </w:pPr>
            <w:r w:rsidRPr="00765031">
              <w:rPr>
                <w:b/>
                <w:bCs/>
                <w:lang w:val="es-ES"/>
              </w:rPr>
              <w:t>Metformina (1.5 g / d, n = 26)</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14:paraId="408ED3CB" w14:textId="77777777" w:rsidR="00765031" w:rsidRPr="00765031" w:rsidRDefault="00765031" w:rsidP="007C0944">
            <w:pPr>
              <w:jc w:val="both"/>
              <w:rPr>
                <w:b/>
                <w:bCs/>
                <w:lang w:val="es-ES"/>
              </w:rPr>
            </w:pPr>
            <w:r w:rsidRPr="00765031">
              <w:rPr>
                <w:b/>
                <w:bCs/>
                <w:lang w:val="es-ES"/>
              </w:rPr>
              <w:t>Rosiglitazona (4 mg / d, n = 21)</w:t>
            </w:r>
          </w:p>
        </w:tc>
      </w:tr>
      <w:tr w:rsidR="00765031" w:rsidRPr="00765031" w14:paraId="32295A30" w14:textId="77777777" w:rsidTr="00765031">
        <w:trPr>
          <w:tblCellSpacing w:w="15" w:type="dxa"/>
        </w:trPr>
        <w:tc>
          <w:tcPr>
            <w:tcW w:w="0" w:type="auto"/>
            <w:shd w:val="clear" w:color="auto" w:fill="F7F7F7"/>
            <w:tcMar>
              <w:top w:w="105" w:type="dxa"/>
              <w:left w:w="105" w:type="dxa"/>
              <w:bottom w:w="105" w:type="dxa"/>
              <w:right w:w="105" w:type="dxa"/>
            </w:tcMar>
            <w:hideMark/>
          </w:tcPr>
          <w:p w14:paraId="745A6FCB" w14:textId="77777777" w:rsidR="00765031" w:rsidRPr="00765031" w:rsidRDefault="00765031" w:rsidP="007C0944">
            <w:pPr>
              <w:jc w:val="both"/>
              <w:rPr>
                <w:lang w:val="es-ES"/>
              </w:rPr>
            </w:pPr>
            <w:r w:rsidRPr="00765031">
              <w:rPr>
                <w:lang w:val="es-ES"/>
              </w:rPr>
              <w:t>FBG</w:t>
            </w:r>
          </w:p>
        </w:tc>
        <w:tc>
          <w:tcPr>
            <w:tcW w:w="0" w:type="auto"/>
            <w:shd w:val="clear" w:color="auto" w:fill="F7F7F7"/>
            <w:tcMar>
              <w:top w:w="105" w:type="dxa"/>
              <w:left w:w="105" w:type="dxa"/>
              <w:bottom w:w="105" w:type="dxa"/>
              <w:right w:w="105" w:type="dxa"/>
            </w:tcMar>
            <w:hideMark/>
          </w:tcPr>
          <w:p w14:paraId="4C7FA519" w14:textId="77777777" w:rsidR="00765031" w:rsidRPr="00765031" w:rsidRDefault="00765031" w:rsidP="007C0944">
            <w:pPr>
              <w:jc w:val="both"/>
              <w:rPr>
                <w:lang w:val="es-ES"/>
              </w:rPr>
            </w:pPr>
            <w:r w:rsidRPr="00765031">
              <w:rPr>
                <w:lang w:val="es-ES"/>
              </w:rPr>
              <w:t>antes de</w:t>
            </w:r>
          </w:p>
        </w:tc>
        <w:tc>
          <w:tcPr>
            <w:tcW w:w="0" w:type="auto"/>
            <w:shd w:val="clear" w:color="auto" w:fill="F7F7F7"/>
            <w:tcMar>
              <w:top w:w="105" w:type="dxa"/>
              <w:left w:w="105" w:type="dxa"/>
              <w:bottom w:w="105" w:type="dxa"/>
              <w:right w:w="105" w:type="dxa"/>
            </w:tcMar>
            <w:hideMark/>
          </w:tcPr>
          <w:p w14:paraId="57ED8EB7" w14:textId="77777777" w:rsidR="00765031" w:rsidRPr="00765031" w:rsidRDefault="00765031" w:rsidP="007C0944">
            <w:pPr>
              <w:jc w:val="both"/>
              <w:rPr>
                <w:lang w:val="es-ES"/>
              </w:rPr>
            </w:pPr>
            <w:r w:rsidRPr="00765031">
              <w:rPr>
                <w:lang w:val="es-ES"/>
              </w:rPr>
              <w:t>10,4 ± 0,4</w:t>
            </w:r>
          </w:p>
        </w:tc>
        <w:tc>
          <w:tcPr>
            <w:tcW w:w="0" w:type="auto"/>
            <w:shd w:val="clear" w:color="auto" w:fill="F7F7F7"/>
            <w:tcMar>
              <w:top w:w="105" w:type="dxa"/>
              <w:left w:w="105" w:type="dxa"/>
              <w:bottom w:w="105" w:type="dxa"/>
              <w:right w:w="105" w:type="dxa"/>
            </w:tcMar>
            <w:hideMark/>
          </w:tcPr>
          <w:p w14:paraId="4F88EC21" w14:textId="77777777" w:rsidR="00765031" w:rsidRPr="00765031" w:rsidRDefault="00765031" w:rsidP="007C0944">
            <w:pPr>
              <w:jc w:val="both"/>
              <w:rPr>
                <w:lang w:val="es-ES"/>
              </w:rPr>
            </w:pPr>
            <w:r w:rsidRPr="00765031">
              <w:rPr>
                <w:lang w:val="es-ES"/>
              </w:rPr>
              <w:t>10,9 ± 0,5</w:t>
            </w:r>
          </w:p>
        </w:tc>
        <w:tc>
          <w:tcPr>
            <w:tcW w:w="0" w:type="auto"/>
            <w:shd w:val="clear" w:color="auto" w:fill="F7F7F7"/>
            <w:tcMar>
              <w:top w:w="105" w:type="dxa"/>
              <w:left w:w="105" w:type="dxa"/>
              <w:bottom w:w="105" w:type="dxa"/>
              <w:right w:w="105" w:type="dxa"/>
            </w:tcMar>
            <w:hideMark/>
          </w:tcPr>
          <w:p w14:paraId="52D78C2C" w14:textId="77777777" w:rsidR="00765031" w:rsidRPr="00765031" w:rsidRDefault="00765031" w:rsidP="007C0944">
            <w:pPr>
              <w:jc w:val="both"/>
              <w:rPr>
                <w:lang w:val="es-ES"/>
              </w:rPr>
            </w:pPr>
            <w:r w:rsidRPr="00765031">
              <w:rPr>
                <w:lang w:val="es-ES"/>
              </w:rPr>
              <w:t>9.1 ± 0.8</w:t>
            </w:r>
          </w:p>
        </w:tc>
      </w:tr>
      <w:tr w:rsidR="00765031" w:rsidRPr="00765031" w14:paraId="7CF4F5A1" w14:textId="77777777" w:rsidTr="00765031">
        <w:trPr>
          <w:tblCellSpacing w:w="15" w:type="dxa"/>
        </w:trPr>
        <w:tc>
          <w:tcPr>
            <w:tcW w:w="0" w:type="auto"/>
            <w:shd w:val="clear" w:color="auto" w:fill="FFFFFF"/>
            <w:tcMar>
              <w:top w:w="105" w:type="dxa"/>
              <w:left w:w="105" w:type="dxa"/>
              <w:bottom w:w="105" w:type="dxa"/>
              <w:right w:w="105" w:type="dxa"/>
            </w:tcMar>
            <w:hideMark/>
          </w:tcPr>
          <w:p w14:paraId="7775B3FB" w14:textId="77777777" w:rsidR="00765031" w:rsidRPr="00765031" w:rsidRDefault="00765031" w:rsidP="007C0944">
            <w:pPr>
              <w:jc w:val="both"/>
              <w:rPr>
                <w:lang w:val="es-ES"/>
              </w:rPr>
            </w:pPr>
            <w:r w:rsidRPr="00765031">
              <w:rPr>
                <w:lang w:val="es-ES"/>
              </w:rPr>
              <w:t>(3.9-5.6 mmol / L)</w:t>
            </w:r>
          </w:p>
        </w:tc>
        <w:tc>
          <w:tcPr>
            <w:tcW w:w="0" w:type="auto"/>
            <w:shd w:val="clear" w:color="auto" w:fill="FFFFFF"/>
            <w:tcMar>
              <w:top w:w="105" w:type="dxa"/>
              <w:left w:w="105" w:type="dxa"/>
              <w:bottom w:w="105" w:type="dxa"/>
              <w:right w:w="105" w:type="dxa"/>
            </w:tcMar>
            <w:hideMark/>
          </w:tcPr>
          <w:p w14:paraId="7986AE7F" w14:textId="77777777" w:rsidR="00765031" w:rsidRPr="00765031" w:rsidRDefault="00765031" w:rsidP="007C0944">
            <w:pPr>
              <w:jc w:val="both"/>
              <w:rPr>
                <w:lang w:val="es-ES"/>
              </w:rPr>
            </w:pPr>
            <w:r w:rsidRPr="00765031">
              <w:rPr>
                <w:lang w:val="es-ES"/>
              </w:rPr>
              <w:t>Después</w:t>
            </w:r>
          </w:p>
        </w:tc>
        <w:tc>
          <w:tcPr>
            <w:tcW w:w="0" w:type="auto"/>
            <w:shd w:val="clear" w:color="auto" w:fill="FFFFFF"/>
            <w:tcMar>
              <w:top w:w="105" w:type="dxa"/>
              <w:left w:w="105" w:type="dxa"/>
              <w:bottom w:w="105" w:type="dxa"/>
              <w:right w:w="105" w:type="dxa"/>
            </w:tcMar>
            <w:hideMark/>
          </w:tcPr>
          <w:p w14:paraId="3EE14A54" w14:textId="77777777" w:rsidR="00765031" w:rsidRPr="00765031" w:rsidRDefault="00765031" w:rsidP="007C0944">
            <w:pPr>
              <w:jc w:val="both"/>
              <w:rPr>
                <w:lang w:val="es-ES"/>
              </w:rPr>
            </w:pPr>
            <w:r w:rsidRPr="00765031">
              <w:rPr>
                <w:lang w:val="es-ES"/>
              </w:rPr>
              <w:t>7.7 ± 0.3 </w:t>
            </w:r>
            <w:hyperlink r:id="rId43" w:anchor="title-footnote-tblfn2" w:history="1">
              <w:r w:rsidRPr="00765031">
                <w:rPr>
                  <w:rStyle w:val="Hipervnculo"/>
                  <w:vertAlign w:val="superscript"/>
                  <w:lang w:val="es-ES"/>
                </w:rPr>
                <w:t>†</w:t>
              </w:r>
            </w:hyperlink>
            <w:r w:rsidRPr="00765031">
              <w:rPr>
                <w:lang w:val="es-ES"/>
              </w:rPr>
              <w:t> †</w:t>
            </w:r>
          </w:p>
        </w:tc>
        <w:tc>
          <w:tcPr>
            <w:tcW w:w="0" w:type="auto"/>
            <w:shd w:val="clear" w:color="auto" w:fill="FFFFFF"/>
            <w:tcMar>
              <w:top w:w="105" w:type="dxa"/>
              <w:left w:w="105" w:type="dxa"/>
              <w:bottom w:w="105" w:type="dxa"/>
              <w:right w:w="105" w:type="dxa"/>
            </w:tcMar>
            <w:hideMark/>
          </w:tcPr>
          <w:p w14:paraId="63ED4CA9" w14:textId="77777777" w:rsidR="00765031" w:rsidRPr="00765031" w:rsidRDefault="00765031" w:rsidP="007C0944">
            <w:pPr>
              <w:jc w:val="both"/>
              <w:rPr>
                <w:lang w:val="es-ES"/>
              </w:rPr>
            </w:pPr>
            <w:r w:rsidRPr="00765031">
              <w:rPr>
                <w:lang w:val="es-ES"/>
              </w:rPr>
              <w:t>7,6 ± 0,3 </w:t>
            </w:r>
            <w:hyperlink r:id="rId44" w:anchor="title-footnote-tblfn2" w:history="1">
              <w:r w:rsidRPr="00765031">
                <w:rPr>
                  <w:rStyle w:val="Hipervnculo"/>
                  <w:vertAlign w:val="superscript"/>
                  <w:lang w:val="es-ES"/>
                </w:rPr>
                <w:t>†</w:t>
              </w:r>
            </w:hyperlink>
            <w:r w:rsidRPr="00765031">
              <w:rPr>
                <w:lang w:val="es-ES"/>
              </w:rPr>
              <w:t> †</w:t>
            </w:r>
          </w:p>
        </w:tc>
        <w:tc>
          <w:tcPr>
            <w:tcW w:w="0" w:type="auto"/>
            <w:shd w:val="clear" w:color="auto" w:fill="FFFFFF"/>
            <w:tcMar>
              <w:top w:w="105" w:type="dxa"/>
              <w:left w:w="105" w:type="dxa"/>
              <w:bottom w:w="105" w:type="dxa"/>
              <w:right w:w="105" w:type="dxa"/>
            </w:tcMar>
            <w:hideMark/>
          </w:tcPr>
          <w:p w14:paraId="21A2C890" w14:textId="77777777" w:rsidR="00765031" w:rsidRPr="00765031" w:rsidRDefault="00765031" w:rsidP="007C0944">
            <w:pPr>
              <w:jc w:val="both"/>
              <w:rPr>
                <w:lang w:val="es-ES"/>
              </w:rPr>
            </w:pPr>
            <w:r w:rsidRPr="00765031">
              <w:rPr>
                <w:lang w:val="es-ES"/>
              </w:rPr>
              <w:t>7.5 ± 0.6 </w:t>
            </w:r>
            <w:hyperlink r:id="rId45" w:anchor="title-footnote-tblfn1" w:history="1">
              <w:r w:rsidRPr="00765031">
                <w:rPr>
                  <w:rStyle w:val="Hipervnculo"/>
                  <w:rFonts w:ascii="Tahoma" w:hAnsi="Tahoma" w:cs="Tahoma"/>
                  <w:vertAlign w:val="superscript"/>
                  <w:lang w:val="es-ES"/>
                </w:rPr>
                <w:t>⁎</w:t>
              </w:r>
            </w:hyperlink>
          </w:p>
        </w:tc>
      </w:tr>
      <w:tr w:rsidR="00765031" w:rsidRPr="00765031" w14:paraId="6ED71F04" w14:textId="77777777" w:rsidTr="00765031">
        <w:trPr>
          <w:tblCellSpacing w:w="15" w:type="dxa"/>
        </w:trPr>
        <w:tc>
          <w:tcPr>
            <w:tcW w:w="0" w:type="auto"/>
            <w:shd w:val="clear" w:color="auto" w:fill="F7F7F7"/>
            <w:tcMar>
              <w:top w:w="105" w:type="dxa"/>
              <w:left w:w="105" w:type="dxa"/>
              <w:bottom w:w="105" w:type="dxa"/>
              <w:right w:w="105" w:type="dxa"/>
            </w:tcMar>
            <w:hideMark/>
          </w:tcPr>
          <w:p w14:paraId="5C801FF7" w14:textId="77777777" w:rsidR="00765031" w:rsidRPr="00765031" w:rsidRDefault="00765031" w:rsidP="007C0944">
            <w:pPr>
              <w:jc w:val="both"/>
              <w:rPr>
                <w:lang w:val="es-ES"/>
              </w:rPr>
            </w:pPr>
            <w:r w:rsidRPr="00765031">
              <w:rPr>
                <w:lang w:val="es-ES"/>
              </w:rPr>
              <w:t>HbA </w:t>
            </w:r>
            <w:r w:rsidRPr="00765031">
              <w:rPr>
                <w:vertAlign w:val="subscript"/>
                <w:lang w:val="es-ES"/>
              </w:rPr>
              <w:t>1c</w:t>
            </w:r>
          </w:p>
        </w:tc>
        <w:tc>
          <w:tcPr>
            <w:tcW w:w="0" w:type="auto"/>
            <w:shd w:val="clear" w:color="auto" w:fill="F7F7F7"/>
            <w:tcMar>
              <w:top w:w="105" w:type="dxa"/>
              <w:left w:w="105" w:type="dxa"/>
              <w:bottom w:w="105" w:type="dxa"/>
              <w:right w:w="105" w:type="dxa"/>
            </w:tcMar>
            <w:hideMark/>
          </w:tcPr>
          <w:p w14:paraId="3A5737F3" w14:textId="77777777" w:rsidR="00765031" w:rsidRPr="00765031" w:rsidRDefault="00765031" w:rsidP="007C0944">
            <w:pPr>
              <w:jc w:val="both"/>
              <w:rPr>
                <w:lang w:val="es-ES"/>
              </w:rPr>
            </w:pPr>
            <w:r w:rsidRPr="00765031">
              <w:rPr>
                <w:lang w:val="es-ES"/>
              </w:rPr>
              <w:t>antes de</w:t>
            </w:r>
          </w:p>
        </w:tc>
        <w:tc>
          <w:tcPr>
            <w:tcW w:w="0" w:type="auto"/>
            <w:shd w:val="clear" w:color="auto" w:fill="F7F7F7"/>
            <w:tcMar>
              <w:top w:w="105" w:type="dxa"/>
              <w:left w:w="105" w:type="dxa"/>
              <w:bottom w:w="105" w:type="dxa"/>
              <w:right w:w="105" w:type="dxa"/>
            </w:tcMar>
            <w:hideMark/>
          </w:tcPr>
          <w:p w14:paraId="3F0A2A5D" w14:textId="77777777" w:rsidR="00765031" w:rsidRPr="00765031" w:rsidRDefault="00765031" w:rsidP="007C0944">
            <w:pPr>
              <w:jc w:val="both"/>
              <w:rPr>
                <w:lang w:val="es-ES"/>
              </w:rPr>
            </w:pPr>
            <w:r w:rsidRPr="00765031">
              <w:rPr>
                <w:lang w:val="es-ES"/>
              </w:rPr>
              <w:t>8.3 ± 0.3</w:t>
            </w:r>
          </w:p>
        </w:tc>
        <w:tc>
          <w:tcPr>
            <w:tcW w:w="0" w:type="auto"/>
            <w:shd w:val="clear" w:color="auto" w:fill="F7F7F7"/>
            <w:tcMar>
              <w:top w:w="105" w:type="dxa"/>
              <w:left w:w="105" w:type="dxa"/>
              <w:bottom w:w="105" w:type="dxa"/>
              <w:right w:w="105" w:type="dxa"/>
            </w:tcMar>
            <w:hideMark/>
          </w:tcPr>
          <w:p w14:paraId="0407F766" w14:textId="77777777" w:rsidR="00765031" w:rsidRPr="00765031" w:rsidRDefault="00765031" w:rsidP="007C0944">
            <w:pPr>
              <w:jc w:val="both"/>
              <w:rPr>
                <w:lang w:val="es-ES"/>
              </w:rPr>
            </w:pPr>
            <w:r w:rsidRPr="00765031">
              <w:rPr>
                <w:lang w:val="es-ES"/>
              </w:rPr>
              <w:t>9.4 ± 0.5</w:t>
            </w:r>
          </w:p>
        </w:tc>
        <w:tc>
          <w:tcPr>
            <w:tcW w:w="0" w:type="auto"/>
            <w:shd w:val="clear" w:color="auto" w:fill="F7F7F7"/>
            <w:tcMar>
              <w:top w:w="105" w:type="dxa"/>
              <w:left w:w="105" w:type="dxa"/>
              <w:bottom w:w="105" w:type="dxa"/>
              <w:right w:w="105" w:type="dxa"/>
            </w:tcMar>
            <w:hideMark/>
          </w:tcPr>
          <w:p w14:paraId="40AAADB7" w14:textId="77777777" w:rsidR="00765031" w:rsidRPr="00765031" w:rsidRDefault="00765031" w:rsidP="007C0944">
            <w:pPr>
              <w:jc w:val="both"/>
              <w:rPr>
                <w:lang w:val="es-ES"/>
              </w:rPr>
            </w:pPr>
            <w:r w:rsidRPr="00765031">
              <w:rPr>
                <w:lang w:val="es-ES"/>
              </w:rPr>
              <w:t>8.3 ± 0.4</w:t>
            </w:r>
          </w:p>
        </w:tc>
      </w:tr>
      <w:tr w:rsidR="00765031" w:rsidRPr="00765031" w14:paraId="635D3927" w14:textId="77777777" w:rsidTr="00765031">
        <w:trPr>
          <w:tblCellSpacing w:w="15" w:type="dxa"/>
        </w:trPr>
        <w:tc>
          <w:tcPr>
            <w:tcW w:w="0" w:type="auto"/>
            <w:shd w:val="clear" w:color="auto" w:fill="FFFFF3"/>
            <w:tcMar>
              <w:top w:w="105" w:type="dxa"/>
              <w:left w:w="105" w:type="dxa"/>
              <w:bottom w:w="105" w:type="dxa"/>
              <w:right w:w="105" w:type="dxa"/>
            </w:tcMar>
            <w:hideMark/>
          </w:tcPr>
          <w:p w14:paraId="4DCDDEFA" w14:textId="77777777" w:rsidR="00765031" w:rsidRPr="00765031" w:rsidRDefault="00765031" w:rsidP="007C0944">
            <w:pPr>
              <w:jc w:val="both"/>
              <w:rPr>
                <w:lang w:val="es-ES"/>
              </w:rPr>
            </w:pPr>
            <w:r w:rsidRPr="00765031">
              <w:rPr>
                <w:lang w:val="es-ES"/>
              </w:rPr>
              <w:t>(4.0% -6.0%)</w:t>
            </w:r>
          </w:p>
        </w:tc>
        <w:tc>
          <w:tcPr>
            <w:tcW w:w="0" w:type="auto"/>
            <w:shd w:val="clear" w:color="auto" w:fill="FFFFF3"/>
            <w:tcMar>
              <w:top w:w="105" w:type="dxa"/>
              <w:left w:w="105" w:type="dxa"/>
              <w:bottom w:w="105" w:type="dxa"/>
              <w:right w:w="105" w:type="dxa"/>
            </w:tcMar>
            <w:hideMark/>
          </w:tcPr>
          <w:p w14:paraId="6DF006D7" w14:textId="77777777" w:rsidR="00765031" w:rsidRPr="00765031" w:rsidRDefault="00765031" w:rsidP="007C0944">
            <w:pPr>
              <w:jc w:val="both"/>
              <w:rPr>
                <w:lang w:val="es-ES"/>
              </w:rPr>
            </w:pPr>
            <w:r w:rsidRPr="00765031">
              <w:rPr>
                <w:lang w:val="es-ES"/>
              </w:rPr>
              <w:t>Después</w:t>
            </w:r>
          </w:p>
        </w:tc>
        <w:tc>
          <w:tcPr>
            <w:tcW w:w="0" w:type="auto"/>
            <w:shd w:val="clear" w:color="auto" w:fill="FFFFF3"/>
            <w:tcMar>
              <w:top w:w="105" w:type="dxa"/>
              <w:left w:w="105" w:type="dxa"/>
              <w:bottom w:w="105" w:type="dxa"/>
              <w:right w:w="105" w:type="dxa"/>
            </w:tcMar>
            <w:hideMark/>
          </w:tcPr>
          <w:p w14:paraId="2C436722" w14:textId="77777777" w:rsidR="00765031" w:rsidRPr="00765031" w:rsidRDefault="00765031" w:rsidP="007C0944">
            <w:pPr>
              <w:jc w:val="both"/>
              <w:rPr>
                <w:lang w:val="es-ES"/>
              </w:rPr>
            </w:pPr>
            <w:r w:rsidRPr="00765031">
              <w:rPr>
                <w:lang w:val="es-ES"/>
              </w:rPr>
              <w:t>6.8 ± 0.2 </w:t>
            </w:r>
            <w:hyperlink r:id="rId46" w:anchor="title-footnote-tblfn2" w:history="1">
              <w:r w:rsidRPr="00765031">
                <w:rPr>
                  <w:rStyle w:val="Hipervnculo"/>
                  <w:vertAlign w:val="superscript"/>
                  <w:lang w:val="es-ES"/>
                </w:rPr>
                <w:t>†</w:t>
              </w:r>
            </w:hyperlink>
            <w:r w:rsidRPr="00765031">
              <w:rPr>
                <w:lang w:val="es-ES"/>
              </w:rPr>
              <w:t> †</w:t>
            </w:r>
          </w:p>
        </w:tc>
        <w:tc>
          <w:tcPr>
            <w:tcW w:w="0" w:type="auto"/>
            <w:shd w:val="clear" w:color="auto" w:fill="FFFFF3"/>
            <w:tcMar>
              <w:top w:w="105" w:type="dxa"/>
              <w:left w:w="105" w:type="dxa"/>
              <w:bottom w:w="105" w:type="dxa"/>
              <w:right w:w="105" w:type="dxa"/>
            </w:tcMar>
            <w:hideMark/>
          </w:tcPr>
          <w:p w14:paraId="30D85519" w14:textId="77777777" w:rsidR="00765031" w:rsidRPr="00765031" w:rsidRDefault="00765031" w:rsidP="007C0944">
            <w:pPr>
              <w:jc w:val="both"/>
              <w:rPr>
                <w:lang w:val="es-ES"/>
              </w:rPr>
            </w:pPr>
            <w:r w:rsidRPr="00765031">
              <w:rPr>
                <w:lang w:val="es-ES"/>
              </w:rPr>
              <w:t>7.2 ± 0.3 </w:t>
            </w:r>
            <w:hyperlink r:id="rId47" w:anchor="title-footnote-tblfn2" w:history="1">
              <w:r w:rsidRPr="00765031">
                <w:rPr>
                  <w:rStyle w:val="Hipervnculo"/>
                  <w:vertAlign w:val="superscript"/>
                  <w:lang w:val="es-ES"/>
                </w:rPr>
                <w:t>†</w:t>
              </w:r>
            </w:hyperlink>
            <w:r w:rsidRPr="00765031">
              <w:rPr>
                <w:lang w:val="es-ES"/>
              </w:rPr>
              <w:t> †</w:t>
            </w:r>
          </w:p>
        </w:tc>
        <w:tc>
          <w:tcPr>
            <w:tcW w:w="0" w:type="auto"/>
            <w:shd w:val="clear" w:color="auto" w:fill="FFFFF3"/>
            <w:tcMar>
              <w:top w:w="105" w:type="dxa"/>
              <w:left w:w="105" w:type="dxa"/>
              <w:bottom w:w="105" w:type="dxa"/>
              <w:right w:w="105" w:type="dxa"/>
            </w:tcMar>
            <w:hideMark/>
          </w:tcPr>
          <w:p w14:paraId="76458070" w14:textId="77777777" w:rsidR="00765031" w:rsidRPr="00765031" w:rsidRDefault="00765031" w:rsidP="007C0944">
            <w:pPr>
              <w:jc w:val="both"/>
              <w:rPr>
                <w:lang w:val="es-ES"/>
              </w:rPr>
            </w:pPr>
            <w:r w:rsidRPr="00765031">
              <w:rPr>
                <w:lang w:val="es-ES"/>
              </w:rPr>
              <w:t>6.8 ± 0.3 </w:t>
            </w:r>
            <w:hyperlink r:id="rId48" w:anchor="title-footnote-tblfn1" w:history="1">
              <w:r w:rsidRPr="00765031">
                <w:rPr>
                  <w:rStyle w:val="Hipervnculo"/>
                  <w:rFonts w:ascii="Tahoma" w:hAnsi="Tahoma" w:cs="Tahoma"/>
                  <w:vertAlign w:val="superscript"/>
                  <w:lang w:val="es-ES"/>
                </w:rPr>
                <w:t>⁎</w:t>
              </w:r>
            </w:hyperlink>
          </w:p>
        </w:tc>
      </w:tr>
      <w:tr w:rsidR="00765031" w:rsidRPr="00765031" w14:paraId="0AFD08FC" w14:textId="77777777" w:rsidTr="00765031">
        <w:trPr>
          <w:tblCellSpacing w:w="15" w:type="dxa"/>
        </w:trPr>
        <w:tc>
          <w:tcPr>
            <w:tcW w:w="0" w:type="auto"/>
            <w:shd w:val="clear" w:color="auto" w:fill="F7F7F7"/>
            <w:tcMar>
              <w:top w:w="105" w:type="dxa"/>
              <w:left w:w="105" w:type="dxa"/>
              <w:bottom w:w="105" w:type="dxa"/>
              <w:right w:w="105" w:type="dxa"/>
            </w:tcMar>
            <w:hideMark/>
          </w:tcPr>
          <w:p w14:paraId="0A667FBD" w14:textId="77777777" w:rsidR="00765031" w:rsidRPr="00765031" w:rsidRDefault="00765031" w:rsidP="007C0944">
            <w:pPr>
              <w:jc w:val="both"/>
              <w:rPr>
                <w:lang w:val="es-ES"/>
              </w:rPr>
            </w:pPr>
            <w:r w:rsidRPr="00765031">
              <w:rPr>
                <w:lang w:val="es-ES"/>
              </w:rPr>
              <w:t>TG</w:t>
            </w:r>
          </w:p>
        </w:tc>
        <w:tc>
          <w:tcPr>
            <w:tcW w:w="0" w:type="auto"/>
            <w:shd w:val="clear" w:color="auto" w:fill="F7F7F7"/>
            <w:tcMar>
              <w:top w:w="105" w:type="dxa"/>
              <w:left w:w="105" w:type="dxa"/>
              <w:bottom w:w="105" w:type="dxa"/>
              <w:right w:w="105" w:type="dxa"/>
            </w:tcMar>
            <w:hideMark/>
          </w:tcPr>
          <w:p w14:paraId="193F1EB9" w14:textId="77777777" w:rsidR="00765031" w:rsidRPr="00765031" w:rsidRDefault="00765031" w:rsidP="007C0944">
            <w:pPr>
              <w:jc w:val="both"/>
              <w:rPr>
                <w:lang w:val="es-ES"/>
              </w:rPr>
            </w:pPr>
            <w:r w:rsidRPr="00765031">
              <w:rPr>
                <w:lang w:val="es-ES"/>
              </w:rPr>
              <w:t>antes de</w:t>
            </w:r>
          </w:p>
        </w:tc>
        <w:tc>
          <w:tcPr>
            <w:tcW w:w="0" w:type="auto"/>
            <w:shd w:val="clear" w:color="auto" w:fill="F7F7F7"/>
            <w:tcMar>
              <w:top w:w="105" w:type="dxa"/>
              <w:left w:w="105" w:type="dxa"/>
              <w:bottom w:w="105" w:type="dxa"/>
              <w:right w:w="105" w:type="dxa"/>
            </w:tcMar>
            <w:hideMark/>
          </w:tcPr>
          <w:p w14:paraId="258A675D" w14:textId="77777777" w:rsidR="00765031" w:rsidRPr="00765031" w:rsidRDefault="00765031" w:rsidP="007C0944">
            <w:pPr>
              <w:jc w:val="both"/>
              <w:rPr>
                <w:lang w:val="es-ES"/>
              </w:rPr>
            </w:pPr>
            <w:r w:rsidRPr="00765031">
              <w:rPr>
                <w:lang w:val="es-ES"/>
              </w:rPr>
              <w:t>1.7 ± 0.1</w:t>
            </w:r>
          </w:p>
        </w:tc>
        <w:tc>
          <w:tcPr>
            <w:tcW w:w="0" w:type="auto"/>
            <w:shd w:val="clear" w:color="auto" w:fill="F7F7F7"/>
            <w:tcMar>
              <w:top w:w="105" w:type="dxa"/>
              <w:left w:w="105" w:type="dxa"/>
              <w:bottom w:w="105" w:type="dxa"/>
              <w:right w:w="105" w:type="dxa"/>
            </w:tcMar>
            <w:hideMark/>
          </w:tcPr>
          <w:p w14:paraId="49AC318D" w14:textId="77777777" w:rsidR="00765031" w:rsidRPr="00765031" w:rsidRDefault="00765031" w:rsidP="007C0944">
            <w:pPr>
              <w:jc w:val="both"/>
              <w:rPr>
                <w:lang w:val="es-ES"/>
              </w:rPr>
            </w:pPr>
            <w:r w:rsidRPr="00765031">
              <w:rPr>
                <w:lang w:val="es-ES"/>
              </w:rPr>
              <w:t>1.7 ± 0.2</w:t>
            </w:r>
          </w:p>
        </w:tc>
        <w:tc>
          <w:tcPr>
            <w:tcW w:w="0" w:type="auto"/>
            <w:shd w:val="clear" w:color="auto" w:fill="F7F7F7"/>
            <w:tcMar>
              <w:top w:w="105" w:type="dxa"/>
              <w:left w:w="105" w:type="dxa"/>
              <w:bottom w:w="105" w:type="dxa"/>
              <w:right w:w="105" w:type="dxa"/>
            </w:tcMar>
            <w:hideMark/>
          </w:tcPr>
          <w:p w14:paraId="6DF5D519" w14:textId="77777777" w:rsidR="00765031" w:rsidRPr="00765031" w:rsidRDefault="00765031" w:rsidP="007C0944">
            <w:pPr>
              <w:jc w:val="both"/>
              <w:rPr>
                <w:lang w:val="es-ES"/>
              </w:rPr>
            </w:pPr>
            <w:r w:rsidRPr="00765031">
              <w:rPr>
                <w:lang w:val="es-ES"/>
              </w:rPr>
              <w:t>1.9 ± 0.3</w:t>
            </w:r>
          </w:p>
        </w:tc>
      </w:tr>
      <w:tr w:rsidR="00765031" w:rsidRPr="00765031" w14:paraId="547E0F56" w14:textId="77777777" w:rsidTr="00765031">
        <w:trPr>
          <w:tblCellSpacing w:w="15" w:type="dxa"/>
        </w:trPr>
        <w:tc>
          <w:tcPr>
            <w:tcW w:w="0" w:type="auto"/>
            <w:shd w:val="clear" w:color="auto" w:fill="FFFFFF"/>
            <w:tcMar>
              <w:top w:w="105" w:type="dxa"/>
              <w:left w:w="105" w:type="dxa"/>
              <w:bottom w:w="105" w:type="dxa"/>
              <w:right w:w="105" w:type="dxa"/>
            </w:tcMar>
            <w:hideMark/>
          </w:tcPr>
          <w:p w14:paraId="284E6A6A" w14:textId="77777777" w:rsidR="00765031" w:rsidRPr="00765031" w:rsidRDefault="00765031" w:rsidP="007C0944">
            <w:pPr>
              <w:jc w:val="both"/>
              <w:rPr>
                <w:lang w:val="es-ES"/>
              </w:rPr>
            </w:pPr>
            <w:r w:rsidRPr="00765031">
              <w:rPr>
                <w:lang w:val="es-ES"/>
              </w:rPr>
              <w:t>(&lt;1.7 mmol / L)</w:t>
            </w:r>
          </w:p>
        </w:tc>
        <w:tc>
          <w:tcPr>
            <w:tcW w:w="0" w:type="auto"/>
            <w:shd w:val="clear" w:color="auto" w:fill="FFFFFF"/>
            <w:tcMar>
              <w:top w:w="105" w:type="dxa"/>
              <w:left w:w="105" w:type="dxa"/>
              <w:bottom w:w="105" w:type="dxa"/>
              <w:right w:w="105" w:type="dxa"/>
            </w:tcMar>
            <w:hideMark/>
          </w:tcPr>
          <w:p w14:paraId="63552731" w14:textId="77777777" w:rsidR="00765031" w:rsidRPr="00765031" w:rsidRDefault="00765031" w:rsidP="007C0944">
            <w:pPr>
              <w:jc w:val="both"/>
              <w:rPr>
                <w:lang w:val="es-ES"/>
              </w:rPr>
            </w:pPr>
            <w:r w:rsidRPr="00765031">
              <w:rPr>
                <w:lang w:val="es-ES"/>
              </w:rPr>
              <w:t>Después</w:t>
            </w:r>
          </w:p>
        </w:tc>
        <w:tc>
          <w:tcPr>
            <w:tcW w:w="0" w:type="auto"/>
            <w:shd w:val="clear" w:color="auto" w:fill="FFFFFF"/>
            <w:tcMar>
              <w:top w:w="105" w:type="dxa"/>
              <w:left w:w="105" w:type="dxa"/>
              <w:bottom w:w="105" w:type="dxa"/>
              <w:right w:w="105" w:type="dxa"/>
            </w:tcMar>
            <w:hideMark/>
          </w:tcPr>
          <w:p w14:paraId="54CD75F7" w14:textId="77777777" w:rsidR="00765031" w:rsidRPr="00765031" w:rsidRDefault="00765031" w:rsidP="007C0944">
            <w:pPr>
              <w:jc w:val="both"/>
              <w:rPr>
                <w:lang w:val="es-ES"/>
              </w:rPr>
            </w:pPr>
            <w:r w:rsidRPr="00765031">
              <w:rPr>
                <w:lang w:val="es-ES"/>
              </w:rPr>
              <w:t>1.4 ± 0.1 </w:t>
            </w:r>
            <w:hyperlink r:id="rId49" w:anchor="title-footnote-tblfn1" w:history="1">
              <w:r w:rsidRPr="00765031">
                <w:rPr>
                  <w:rStyle w:val="Hipervnculo"/>
                  <w:rFonts w:ascii="Tahoma" w:hAnsi="Tahoma" w:cs="Tahoma"/>
                  <w:vertAlign w:val="superscript"/>
                  <w:lang w:val="es-ES"/>
                </w:rPr>
                <w:t>⁎</w:t>
              </w:r>
            </w:hyperlink>
          </w:p>
        </w:tc>
        <w:tc>
          <w:tcPr>
            <w:tcW w:w="0" w:type="auto"/>
            <w:shd w:val="clear" w:color="auto" w:fill="FFFFFF"/>
            <w:tcMar>
              <w:top w:w="105" w:type="dxa"/>
              <w:left w:w="105" w:type="dxa"/>
              <w:bottom w:w="105" w:type="dxa"/>
              <w:right w:w="105" w:type="dxa"/>
            </w:tcMar>
            <w:hideMark/>
          </w:tcPr>
          <w:p w14:paraId="69336589" w14:textId="77777777" w:rsidR="00765031" w:rsidRPr="00765031" w:rsidRDefault="00765031" w:rsidP="007C0944">
            <w:pPr>
              <w:jc w:val="both"/>
              <w:rPr>
                <w:lang w:val="es-ES"/>
              </w:rPr>
            </w:pPr>
            <w:r w:rsidRPr="00765031">
              <w:rPr>
                <w:lang w:val="es-ES"/>
              </w:rPr>
              <w:t>1.6 ± 0.1</w:t>
            </w:r>
          </w:p>
        </w:tc>
        <w:tc>
          <w:tcPr>
            <w:tcW w:w="0" w:type="auto"/>
            <w:shd w:val="clear" w:color="auto" w:fill="FFFFFF"/>
            <w:tcMar>
              <w:top w:w="105" w:type="dxa"/>
              <w:left w:w="105" w:type="dxa"/>
              <w:bottom w:w="105" w:type="dxa"/>
              <w:right w:w="105" w:type="dxa"/>
            </w:tcMar>
            <w:hideMark/>
          </w:tcPr>
          <w:p w14:paraId="73CB2CAE" w14:textId="77777777" w:rsidR="00765031" w:rsidRPr="00765031" w:rsidRDefault="00765031" w:rsidP="007C0944">
            <w:pPr>
              <w:jc w:val="both"/>
              <w:rPr>
                <w:lang w:val="es-ES"/>
              </w:rPr>
            </w:pPr>
            <w:r w:rsidRPr="00765031">
              <w:rPr>
                <w:lang w:val="es-ES"/>
              </w:rPr>
              <w:t>1.6 ± 0.1</w:t>
            </w:r>
          </w:p>
        </w:tc>
      </w:tr>
    </w:tbl>
    <w:p w14:paraId="031F4776" w14:textId="77777777" w:rsidR="009D0AE0" w:rsidRPr="009D0AE0" w:rsidRDefault="009D0AE0" w:rsidP="007C0944">
      <w:pPr>
        <w:shd w:val="clear" w:color="auto" w:fill="EEEEEE"/>
        <w:spacing w:after="288" w:line="360" w:lineRule="atLeast"/>
        <w:jc w:val="both"/>
        <w:rPr>
          <w:rFonts w:ascii="Times New Roman" w:eastAsia="Times New Roman" w:hAnsi="Times New Roman" w:cs="Times New Roman"/>
          <w:sz w:val="24"/>
          <w:szCs w:val="24"/>
          <w:lang w:val="es-ES" w:eastAsia="es-ES"/>
        </w:rPr>
      </w:pPr>
      <w:r w:rsidRPr="009D0AE0">
        <w:rPr>
          <w:rFonts w:ascii="Times New Roman" w:eastAsia="Times New Roman" w:hAnsi="Times New Roman" w:cs="Times New Roman"/>
          <w:sz w:val="24"/>
          <w:szCs w:val="24"/>
          <w:lang w:val="es-ES" w:eastAsia="es-ES"/>
        </w:rPr>
        <w:t>Los valores son medias ± SEM.</w:t>
      </w:r>
    </w:p>
    <w:p w14:paraId="62053EF3" w14:textId="6BDE6A83" w:rsidR="009D0AE0" w:rsidRPr="009D0AE0" w:rsidRDefault="009D0AE0" w:rsidP="007C0944">
      <w:pPr>
        <w:shd w:val="clear" w:color="auto" w:fill="EEEEEE"/>
        <w:spacing w:after="60" w:line="240" w:lineRule="atLeast"/>
        <w:jc w:val="both"/>
        <w:rPr>
          <w:rFonts w:ascii="Times New Roman" w:eastAsia="Times New Roman" w:hAnsi="Times New Roman" w:cs="Times New Roman"/>
          <w:sz w:val="24"/>
          <w:szCs w:val="24"/>
          <w:lang w:val="es-ES" w:eastAsia="es-ES"/>
        </w:rPr>
      </w:pPr>
      <w:r w:rsidRPr="009D0AE0">
        <w:rPr>
          <w:rFonts w:ascii="Times New Roman" w:eastAsia="Times New Roman" w:hAnsi="Times New Roman" w:cs="Times New Roman"/>
          <w:noProof/>
          <w:color w:val="336699"/>
          <w:lang w:val="es-ES" w:eastAsia="es-ES"/>
        </w:rPr>
        <w:drawing>
          <wp:inline distT="0" distB="0" distL="0" distR="0" wp14:anchorId="3F8545E7" wp14:editId="76D775B9">
            <wp:extent cx="85725" cy="200025"/>
            <wp:effectExtent l="0" t="0" r="9525" b="9525"/>
            <wp:docPr id="6" name="Imagen 6" descr="asterisco baj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terisco bajo">
                      <a:hlinkClick r:id="rId50"/>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sidRPr="009D0AE0">
        <w:rPr>
          <w:rFonts w:ascii="Times New Roman" w:eastAsia="Times New Roman" w:hAnsi="Times New Roman" w:cs="Times New Roman"/>
          <w:i/>
          <w:iCs/>
          <w:sz w:val="24"/>
          <w:szCs w:val="24"/>
          <w:lang w:val="es-ES" w:eastAsia="es-ES"/>
        </w:rPr>
        <w:t>P</w:t>
      </w:r>
      <w:r w:rsidRPr="009D0AE0">
        <w:rPr>
          <w:rFonts w:ascii="Times New Roman" w:eastAsia="Times New Roman" w:hAnsi="Times New Roman" w:cs="Times New Roman"/>
          <w:sz w:val="24"/>
          <w:szCs w:val="24"/>
          <w:lang w:val="es-ES" w:eastAsia="es-ES"/>
        </w:rPr>
        <w:t> &lt;.01 en comparación con eso antes del tratamiento mediante la prueba </w:t>
      </w:r>
      <w:r w:rsidRPr="009D0AE0">
        <w:rPr>
          <w:rFonts w:ascii="Times New Roman" w:eastAsia="Times New Roman" w:hAnsi="Times New Roman" w:cs="Times New Roman"/>
          <w:i/>
          <w:iCs/>
          <w:sz w:val="24"/>
          <w:szCs w:val="24"/>
          <w:lang w:val="es-ES" w:eastAsia="es-ES"/>
        </w:rPr>
        <w:t>t</w:t>
      </w:r>
      <w:r w:rsidRPr="009D0AE0">
        <w:rPr>
          <w:rFonts w:ascii="Times New Roman" w:eastAsia="Times New Roman" w:hAnsi="Times New Roman" w:cs="Times New Roman"/>
          <w:sz w:val="24"/>
          <w:szCs w:val="24"/>
          <w:lang w:val="es-ES" w:eastAsia="es-ES"/>
        </w:rPr>
        <w:t> </w:t>
      </w:r>
      <w:r w:rsidR="007C0944" w:rsidRPr="009D0AE0">
        <w:rPr>
          <w:rFonts w:ascii="Times New Roman" w:eastAsia="Times New Roman" w:hAnsi="Times New Roman" w:cs="Times New Roman"/>
          <w:sz w:val="24"/>
          <w:szCs w:val="24"/>
          <w:lang w:val="es-ES" w:eastAsia="es-ES"/>
        </w:rPr>
        <w:t>pareada.</w:t>
      </w:r>
    </w:p>
    <w:p w14:paraId="7E4CDC3F" w14:textId="4584FCD3" w:rsidR="009D0AE0" w:rsidRPr="009D0AE0" w:rsidRDefault="007C0944" w:rsidP="007C0944">
      <w:pPr>
        <w:shd w:val="clear" w:color="auto" w:fill="EEEEEE"/>
        <w:spacing w:line="240" w:lineRule="atLeast"/>
        <w:jc w:val="both"/>
        <w:rPr>
          <w:rFonts w:ascii="Times New Roman" w:eastAsia="Times New Roman" w:hAnsi="Times New Roman" w:cs="Times New Roman"/>
          <w:sz w:val="24"/>
          <w:szCs w:val="24"/>
          <w:lang w:val="es-ES" w:eastAsia="es-ES"/>
        </w:rPr>
      </w:pPr>
      <w:hyperlink r:id="rId51" w:anchor="back-tblfn2" w:history="1">
        <w:r w:rsidR="009D0AE0" w:rsidRPr="009D0AE0">
          <w:rPr>
            <w:rFonts w:ascii="Times New Roman" w:eastAsia="Times New Roman" w:hAnsi="Times New Roman" w:cs="Times New Roman"/>
            <w:color w:val="336699"/>
            <w:u w:val="single"/>
            <w:lang w:val="es-ES" w:eastAsia="es-ES"/>
          </w:rPr>
          <w:t>† </w:t>
        </w:r>
      </w:hyperlink>
      <w:r w:rsidR="009D0AE0" w:rsidRPr="009D0AE0">
        <w:rPr>
          <w:rFonts w:ascii="Times New Roman" w:eastAsia="Times New Roman" w:hAnsi="Times New Roman" w:cs="Times New Roman"/>
          <w:i/>
          <w:iCs/>
          <w:sz w:val="24"/>
          <w:szCs w:val="24"/>
          <w:lang w:val="es-ES" w:eastAsia="es-ES"/>
        </w:rPr>
        <w:t>P</w:t>
      </w:r>
      <w:r w:rsidR="009D0AE0" w:rsidRPr="009D0AE0">
        <w:rPr>
          <w:rFonts w:ascii="Times New Roman" w:eastAsia="Times New Roman" w:hAnsi="Times New Roman" w:cs="Times New Roman"/>
          <w:sz w:val="24"/>
          <w:szCs w:val="24"/>
          <w:lang w:val="es-ES" w:eastAsia="es-ES"/>
        </w:rPr>
        <w:t> &lt;.001 comparado con eso antes del tratamiento mediante prueba </w:t>
      </w:r>
      <w:r w:rsidR="009D0AE0" w:rsidRPr="009D0AE0">
        <w:rPr>
          <w:rFonts w:ascii="Times New Roman" w:eastAsia="Times New Roman" w:hAnsi="Times New Roman" w:cs="Times New Roman"/>
          <w:i/>
          <w:iCs/>
          <w:sz w:val="24"/>
          <w:szCs w:val="24"/>
          <w:lang w:val="es-ES" w:eastAsia="es-ES"/>
        </w:rPr>
        <w:t>t</w:t>
      </w:r>
      <w:r w:rsidR="009D0AE0" w:rsidRPr="009D0AE0">
        <w:rPr>
          <w:rFonts w:ascii="Times New Roman" w:eastAsia="Times New Roman" w:hAnsi="Times New Roman" w:cs="Times New Roman"/>
          <w:sz w:val="24"/>
          <w:szCs w:val="24"/>
          <w:lang w:val="es-ES" w:eastAsia="es-ES"/>
        </w:rPr>
        <w:t> </w:t>
      </w:r>
      <w:r w:rsidRPr="009D0AE0">
        <w:rPr>
          <w:rFonts w:ascii="Times New Roman" w:eastAsia="Times New Roman" w:hAnsi="Times New Roman" w:cs="Times New Roman"/>
          <w:sz w:val="24"/>
          <w:szCs w:val="24"/>
          <w:lang w:val="es-ES" w:eastAsia="es-ES"/>
        </w:rPr>
        <w:t>pareada.</w:t>
      </w:r>
    </w:p>
    <w:p w14:paraId="65AA6A46" w14:textId="77777777" w:rsidR="009D0AE0" w:rsidRPr="007C0944" w:rsidRDefault="009D0AE0" w:rsidP="007C0944">
      <w:pPr>
        <w:spacing w:after="288" w:line="360" w:lineRule="atLeast"/>
        <w:jc w:val="both"/>
        <w:rPr>
          <w:rFonts w:ascii="Helvetica" w:eastAsia="Times New Roman" w:hAnsi="Helvetica" w:cs="Helvetica"/>
          <w:sz w:val="18"/>
          <w:szCs w:val="18"/>
          <w:lang w:val="es-ES" w:eastAsia="es-ES"/>
        </w:rPr>
      </w:pPr>
      <w:r w:rsidRPr="007C0944">
        <w:rPr>
          <w:rFonts w:ascii="Helvetica" w:eastAsia="Times New Roman" w:hAnsi="Helvetica" w:cs="Helvetica"/>
          <w:sz w:val="18"/>
          <w:szCs w:val="18"/>
          <w:lang w:val="es-ES" w:eastAsia="es-ES"/>
        </w:rPr>
        <w:t xml:space="preserve">Aunque las enzimas hepáticas de los pacientes estaban dentro del rango de referencia antes y después del tratamiento con BBR, sus niveles disminuyeron significativamente después de la terapia con BBR. El nivel promedio de alanina aminotransferasa (ALT) disminuyó después del tratamiento BBR de 31 ± 19 a 23 ± 16 U / L </w:t>
      </w:r>
      <w:proofErr w:type="gramStart"/>
      <w:r w:rsidRPr="007C0944">
        <w:rPr>
          <w:rFonts w:ascii="Helvetica" w:eastAsia="Times New Roman" w:hAnsi="Helvetica" w:cs="Helvetica"/>
          <w:sz w:val="18"/>
          <w:szCs w:val="18"/>
          <w:lang w:val="es-ES" w:eastAsia="es-ES"/>
        </w:rPr>
        <w:t>( </w:t>
      </w:r>
      <w:r w:rsidRPr="007C0944">
        <w:rPr>
          <w:rFonts w:ascii="Helvetica" w:eastAsia="Times New Roman" w:hAnsi="Helvetica" w:cs="Helvetica"/>
          <w:i/>
          <w:iCs/>
          <w:sz w:val="18"/>
          <w:szCs w:val="18"/>
          <w:lang w:val="es-ES" w:eastAsia="es-ES"/>
        </w:rPr>
        <w:t>P</w:t>
      </w:r>
      <w:proofErr w:type="gramEnd"/>
      <w:r w:rsidRPr="007C0944">
        <w:rPr>
          <w:rFonts w:ascii="Helvetica" w:eastAsia="Times New Roman" w:hAnsi="Helvetica" w:cs="Helvetica"/>
          <w:sz w:val="18"/>
          <w:szCs w:val="18"/>
          <w:lang w:val="es-ES" w:eastAsia="es-ES"/>
        </w:rPr>
        <w:t> &lt;.01); y </w:t>
      </w:r>
      <w:r w:rsidRPr="007C0944">
        <w:rPr>
          <w:rFonts w:ascii="Helvetica" w:eastAsia="Times New Roman" w:hAnsi="Helvetica" w:cs="Helvetica"/>
          <w:i/>
          <w:iCs/>
          <w:sz w:val="18"/>
          <w:szCs w:val="18"/>
          <w:lang w:val="es-ES" w:eastAsia="es-ES"/>
        </w:rPr>
        <w:t>γ-</w:t>
      </w:r>
      <w:r w:rsidRPr="007C0944">
        <w:rPr>
          <w:rFonts w:ascii="Helvetica" w:eastAsia="Times New Roman" w:hAnsi="Helvetica" w:cs="Helvetica"/>
          <w:sz w:val="18"/>
          <w:szCs w:val="18"/>
          <w:lang w:val="es-ES" w:eastAsia="es-ES"/>
        </w:rPr>
        <w:t> glutamato transpeptidasa, de 47 ± 26 a 31 ± 23 U / L ( </w:t>
      </w:r>
      <w:r w:rsidRPr="007C0944">
        <w:rPr>
          <w:rFonts w:ascii="Helvetica" w:eastAsia="Times New Roman" w:hAnsi="Helvetica" w:cs="Helvetica"/>
          <w:i/>
          <w:iCs/>
          <w:sz w:val="18"/>
          <w:szCs w:val="18"/>
          <w:lang w:val="es-ES" w:eastAsia="es-ES"/>
        </w:rPr>
        <w:t>P</w:t>
      </w:r>
      <w:r w:rsidRPr="007C0944">
        <w:rPr>
          <w:rFonts w:ascii="Helvetica" w:eastAsia="Times New Roman" w:hAnsi="Helvetica" w:cs="Helvetica"/>
          <w:sz w:val="18"/>
          <w:szCs w:val="18"/>
          <w:lang w:val="es-ES" w:eastAsia="es-ES"/>
        </w:rPr>
        <w:t> &lt;.01). La función renal se mantuvo estable y en el rango de referencia en el tratamiento BBR. Los resultados de las funciones hepáticas y renales fueron consistentes con los de nuestro informe anterior [ </w:t>
      </w:r>
      <w:hyperlink r:id="rId52" w:history="1">
        <w:r w:rsidRPr="007C0944">
          <w:rPr>
            <w:rFonts w:ascii="Helvetica" w:eastAsia="Times New Roman" w:hAnsi="Helvetica" w:cs="Helvetica"/>
            <w:color w:val="336699"/>
            <w:sz w:val="18"/>
            <w:szCs w:val="18"/>
            <w:u w:val="single"/>
            <w:lang w:val="es-ES" w:eastAsia="es-ES"/>
          </w:rPr>
          <w:t>17</w:t>
        </w:r>
      </w:hyperlink>
      <w:r w:rsidRPr="007C0944">
        <w:rPr>
          <w:rFonts w:ascii="Helvetica" w:eastAsia="Times New Roman" w:hAnsi="Helvetica" w:cs="Helvetica"/>
          <w:sz w:val="18"/>
          <w:szCs w:val="18"/>
          <w:lang w:val="es-ES" w:eastAsia="es-ES"/>
        </w:rPr>
        <w:t> ] . El nivel de insulina sérica de los pacientes ( </w:t>
      </w:r>
      <w:hyperlink r:id="rId53" w:tgtFrame="_blank" w:history="1">
        <w:r w:rsidRPr="007C0944">
          <w:rPr>
            <w:rFonts w:ascii="Helvetica" w:eastAsia="Times New Roman" w:hAnsi="Helvetica" w:cs="Helvetica"/>
            <w:color w:val="336699"/>
            <w:sz w:val="18"/>
            <w:szCs w:val="18"/>
            <w:u w:val="single"/>
            <w:lang w:val="es-ES" w:eastAsia="es-ES"/>
          </w:rPr>
          <w:t>Fig. 3</w:t>
        </w:r>
      </w:hyperlink>
      <w:r w:rsidRPr="007C0944">
        <w:rPr>
          <w:rFonts w:ascii="Helvetica" w:eastAsia="Times New Roman" w:hAnsi="Helvetica" w:cs="Helvetica"/>
          <w:sz w:val="18"/>
          <w:szCs w:val="18"/>
          <w:lang w:val="es-ES" w:eastAsia="es-ES"/>
        </w:rPr>
        <w:t> A) disminuyó significativamente en un 28,2% después de la terapia BBR ( </w:t>
      </w:r>
      <w:r w:rsidRPr="007C0944">
        <w:rPr>
          <w:rFonts w:ascii="Helvetica" w:eastAsia="Times New Roman" w:hAnsi="Helvetica" w:cs="Helvetica"/>
          <w:i/>
          <w:iCs/>
          <w:sz w:val="18"/>
          <w:szCs w:val="18"/>
          <w:lang w:val="es-ES" w:eastAsia="es-ES"/>
        </w:rPr>
        <w:t>P</w:t>
      </w:r>
      <w:r w:rsidRPr="007C0944">
        <w:rPr>
          <w:rFonts w:ascii="Helvetica" w:eastAsia="Times New Roman" w:hAnsi="Helvetica" w:cs="Helvetica"/>
          <w:sz w:val="18"/>
          <w:szCs w:val="18"/>
          <w:lang w:val="es-ES" w:eastAsia="es-ES"/>
        </w:rPr>
        <w:t> &lt;.01), lo que indica un aumento de la sensibilidad a la insulina en los tejidos periféricos.</w:t>
      </w:r>
    </w:p>
    <w:p w14:paraId="55BBF657" w14:textId="77777777" w:rsidR="00765031" w:rsidRDefault="009D0AE0" w:rsidP="007C0944">
      <w:pPr>
        <w:jc w:val="both"/>
      </w:pPr>
      <w:r w:rsidRPr="009D0AE0">
        <w:rPr>
          <w:noProof/>
        </w:rPr>
        <w:lastRenderedPageBreak/>
        <w:drawing>
          <wp:inline distT="0" distB="0" distL="0" distR="0" wp14:anchorId="42CC2CFF" wp14:editId="2DE716F8">
            <wp:extent cx="6645910" cy="8962390"/>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6645910" cy="8962390"/>
                    </a:xfrm>
                    <a:prstGeom prst="rect">
                      <a:avLst/>
                    </a:prstGeom>
                  </pic:spPr>
                </pic:pic>
              </a:graphicData>
            </a:graphic>
          </wp:inline>
        </w:drawing>
      </w:r>
    </w:p>
    <w:p w14:paraId="26E64B90" w14:textId="77777777" w:rsidR="009D0AE0" w:rsidRPr="009D0AE0" w:rsidRDefault="009D0AE0" w:rsidP="007C0944">
      <w:pPr>
        <w:shd w:val="clear" w:color="auto" w:fill="FFFFFF"/>
        <w:spacing w:after="45" w:line="270" w:lineRule="atLeast"/>
        <w:jc w:val="both"/>
        <w:outlineLvl w:val="3"/>
        <w:rPr>
          <w:rFonts w:ascii="Georgia" w:eastAsia="Times New Roman" w:hAnsi="Georgia" w:cs="Times New Roman"/>
          <w:color w:val="333333"/>
          <w:sz w:val="21"/>
          <w:szCs w:val="21"/>
          <w:lang w:val="es-ES" w:eastAsia="es-ES"/>
        </w:rPr>
      </w:pPr>
      <w:r w:rsidRPr="009D0AE0">
        <w:rPr>
          <w:rFonts w:ascii="Georgia" w:eastAsia="Times New Roman" w:hAnsi="Georgia" w:cs="Times New Roman"/>
          <w:color w:val="333333"/>
          <w:sz w:val="21"/>
          <w:szCs w:val="21"/>
          <w:lang w:val="es-ES" w:eastAsia="es-ES"/>
        </w:rPr>
        <w:t>Fig. 3</w:t>
      </w:r>
    </w:p>
    <w:p w14:paraId="6BED92A0" w14:textId="77777777" w:rsidR="009D0AE0" w:rsidRPr="009D0AE0" w:rsidRDefault="009D0AE0"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9D0AE0">
        <w:rPr>
          <w:rFonts w:ascii="Helvetica" w:eastAsia="Times New Roman" w:hAnsi="Helvetica" w:cs="Helvetica"/>
          <w:color w:val="333333"/>
          <w:sz w:val="18"/>
          <w:szCs w:val="18"/>
          <w:lang w:val="es-ES" w:eastAsia="es-ES"/>
        </w:rPr>
        <w:t xml:space="preserve">Efectos de BBR en pacientes con DM2. Cincuenta pacientes con DM2 del Primer Hospital de Nanjing fueron tratados con 1 g / d de BBR durante 2 meses. Antes y después de la terapia, se tomaron muestras de sangre para analizar la insulina en suero; Se aislaron </w:t>
      </w:r>
      <w:r w:rsidRPr="009D0AE0">
        <w:rPr>
          <w:rFonts w:ascii="Helvetica" w:eastAsia="Times New Roman" w:hAnsi="Helvetica" w:cs="Helvetica"/>
          <w:color w:val="333333"/>
          <w:sz w:val="18"/>
          <w:szCs w:val="18"/>
          <w:lang w:val="es-ES" w:eastAsia="es-ES"/>
        </w:rPr>
        <w:lastRenderedPageBreak/>
        <w:t>los PBL y se analizó el nivel de expresión de la proteína InsR mediante citometría de flujo. A, niveles de insulina sérica y porcentaje de PBL que expresan InsR en la superficie. Los valores son medias ± SEM; </w:t>
      </w:r>
      <w:r w:rsidRPr="009D0AE0">
        <w:rPr>
          <w:rFonts w:ascii="Helvetica" w:eastAsia="Times New Roman" w:hAnsi="Helvetica" w:cs="Helvetica"/>
          <w:i/>
          <w:iCs/>
          <w:color w:val="333333"/>
          <w:sz w:val="18"/>
          <w:szCs w:val="18"/>
          <w:lang w:val="es-ES" w:eastAsia="es-ES"/>
        </w:rPr>
        <w:t>P</w:t>
      </w:r>
      <w:r w:rsidRPr="009D0AE0">
        <w:rPr>
          <w:rFonts w:ascii="Helvetica" w:eastAsia="Times New Roman" w:hAnsi="Helvetica" w:cs="Helvetica"/>
          <w:color w:val="333333"/>
          <w:sz w:val="18"/>
          <w:szCs w:val="18"/>
          <w:lang w:val="es-ES" w:eastAsia="es-ES"/>
        </w:rPr>
        <w:t> &lt;.01 en comparación con eso antes del tratamiento mediante la prueba </w:t>
      </w:r>
      <w:r w:rsidRPr="009D0AE0">
        <w:rPr>
          <w:rFonts w:ascii="Helvetica" w:eastAsia="Times New Roman" w:hAnsi="Helvetica" w:cs="Helvetica"/>
          <w:i/>
          <w:iCs/>
          <w:color w:val="333333"/>
          <w:sz w:val="18"/>
          <w:szCs w:val="18"/>
          <w:lang w:val="es-ES" w:eastAsia="es-ES"/>
        </w:rPr>
        <w:t>t</w:t>
      </w:r>
      <w:r w:rsidRPr="009D0AE0">
        <w:rPr>
          <w:rFonts w:ascii="Helvetica" w:eastAsia="Times New Roman" w:hAnsi="Helvetica" w:cs="Helvetica"/>
          <w:color w:val="333333"/>
          <w:sz w:val="18"/>
          <w:szCs w:val="18"/>
          <w:lang w:val="es-ES" w:eastAsia="es-ES"/>
        </w:rPr>
        <w:t> </w:t>
      </w:r>
      <w:proofErr w:type="gramStart"/>
      <w:r w:rsidRPr="009D0AE0">
        <w:rPr>
          <w:rFonts w:ascii="Helvetica" w:eastAsia="Times New Roman" w:hAnsi="Helvetica" w:cs="Helvetica"/>
          <w:color w:val="333333"/>
          <w:sz w:val="18"/>
          <w:szCs w:val="18"/>
          <w:lang w:val="es-ES" w:eastAsia="es-ES"/>
        </w:rPr>
        <w:t>pareada .</w:t>
      </w:r>
      <w:proofErr w:type="gramEnd"/>
      <w:r w:rsidRPr="009D0AE0">
        <w:rPr>
          <w:rFonts w:ascii="Helvetica" w:eastAsia="Times New Roman" w:hAnsi="Helvetica" w:cs="Helvetica"/>
          <w:color w:val="333333"/>
          <w:sz w:val="18"/>
          <w:szCs w:val="18"/>
          <w:lang w:val="es-ES" w:eastAsia="es-ES"/>
        </w:rPr>
        <w:t> B, correlación negativa entre FBG y PBL InsR expresión. Ocho pacientes de los 50 fueron analizados para la relación entre su expresión FBG y InsR; El aumento de la expresión de InsR en la superficie de PBL fue acompañado por la reducción de la glucosa en sangre.</w:t>
      </w:r>
      <w:r w:rsidRPr="009D0AE0">
        <w:rPr>
          <w:rFonts w:ascii="Helvetica" w:eastAsia="Times New Roman" w:hAnsi="Helvetica" w:cs="Helvetica"/>
          <w:noProof/>
          <w:color w:val="333333"/>
          <w:sz w:val="20"/>
          <w:szCs w:val="20"/>
          <w:vertAlign w:val="superscript"/>
          <w:lang w:val="es-ES" w:eastAsia="es-ES"/>
        </w:rPr>
        <w:drawing>
          <wp:inline distT="0" distB="0" distL="0" distR="0" wp14:anchorId="1568E3E4" wp14:editId="73FB535A">
            <wp:extent cx="85725" cy="200025"/>
            <wp:effectExtent l="0" t="0" r="9525" b="9525"/>
            <wp:docPr id="7" name="Imagen 7" descr="asterisco 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terisco baj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sidRPr="009D0AE0">
        <w:rPr>
          <w:rFonts w:ascii="Helvetica" w:eastAsia="Times New Roman" w:hAnsi="Helvetica" w:cs="Helvetica"/>
          <w:noProof/>
          <w:color w:val="333333"/>
          <w:sz w:val="20"/>
          <w:szCs w:val="20"/>
          <w:vertAlign w:val="superscript"/>
          <w:lang w:val="es-ES" w:eastAsia="es-ES"/>
        </w:rPr>
        <w:drawing>
          <wp:inline distT="0" distB="0" distL="0" distR="0" wp14:anchorId="0BB9A660" wp14:editId="6C305BF5">
            <wp:extent cx="85725" cy="200025"/>
            <wp:effectExtent l="0" t="0" r="9525" b="9525"/>
            <wp:docPr id="8" name="Imagen 8" descr="asterisco 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erisco baj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p>
    <w:p w14:paraId="141EF0A0" w14:textId="77777777" w:rsidR="009D0AE0" w:rsidRDefault="009D0AE0" w:rsidP="007C0944">
      <w:pPr>
        <w:spacing w:after="288" w:line="360" w:lineRule="atLeast"/>
        <w:jc w:val="both"/>
        <w:rPr>
          <w:rFonts w:ascii="Helvetica" w:hAnsi="Helvetica" w:cs="Helvetica"/>
          <w:color w:val="333333"/>
          <w:sz w:val="18"/>
          <w:szCs w:val="18"/>
          <w:shd w:val="clear" w:color="auto" w:fill="FFFFFF"/>
        </w:rPr>
      </w:pPr>
      <w:r>
        <w:rPr>
          <w:rFonts w:ascii="Helvetica" w:hAnsi="Helvetica" w:cs="Helvetica"/>
          <w:color w:val="333333"/>
          <w:sz w:val="18"/>
          <w:szCs w:val="18"/>
          <w:shd w:val="clear" w:color="auto" w:fill="FFFFFF"/>
        </w:rPr>
        <w:t>Para investigar el efecto de regulación positiva de InsR de BBR en humanos, se aislaron PBL de los pacientes en el grupo BBR, seguido de la determinación de la expresión de la proteína InsR en la superficie celular mediante citometría de flujo. Como se muestra en la </w:t>
      </w:r>
      <w:hyperlink r:id="rId55" w:tgtFrame="_blank" w:history="1">
        <w:r>
          <w:rPr>
            <w:rStyle w:val="Hipervnculo"/>
            <w:rFonts w:ascii="Helvetica" w:hAnsi="Helvetica" w:cs="Helvetica"/>
            <w:color w:val="336699"/>
            <w:sz w:val="18"/>
            <w:szCs w:val="18"/>
            <w:shd w:val="clear" w:color="auto" w:fill="FFFFFF"/>
          </w:rPr>
          <w:t>Fig. 3</w:t>
        </w:r>
      </w:hyperlink>
      <w:r>
        <w:rPr>
          <w:rFonts w:ascii="Helvetica" w:hAnsi="Helvetica" w:cs="Helvetica"/>
          <w:color w:val="333333"/>
          <w:sz w:val="18"/>
          <w:szCs w:val="18"/>
          <w:shd w:val="clear" w:color="auto" w:fill="FFFFFF"/>
        </w:rPr>
        <w:t> A, en comparación con antes del tratamiento con BBR, el porcentaje medio de PBL que expresa InsR en la superficie se elevó en 3.6 veces ( </w:t>
      </w:r>
      <w:r>
        <w:rPr>
          <w:rStyle w:val="nfasis"/>
          <w:rFonts w:ascii="Helvetica" w:hAnsi="Helvetica" w:cs="Helvetica"/>
          <w:color w:val="333333"/>
          <w:sz w:val="18"/>
          <w:szCs w:val="18"/>
          <w:shd w:val="clear" w:color="auto" w:fill="FFFFFF"/>
        </w:rPr>
        <w:t>P</w:t>
      </w:r>
      <w:r>
        <w:rPr>
          <w:rFonts w:ascii="Helvetica" w:hAnsi="Helvetica" w:cs="Helvetica"/>
          <w:color w:val="333333"/>
          <w:sz w:val="18"/>
          <w:szCs w:val="18"/>
          <w:shd w:val="clear" w:color="auto" w:fill="FFFFFF"/>
        </w:rPr>
        <w:t> &lt;.01) después de 2 meses de terapia con BBR, de acuerdo con nuestro hallazgo en las células CEM tratadas con BBR ( </w:t>
      </w:r>
      <w:hyperlink r:id="rId56" w:tgtFrame="_blank" w:history="1">
        <w:r>
          <w:rPr>
            <w:rStyle w:val="Hipervnculo"/>
            <w:rFonts w:ascii="Helvetica" w:hAnsi="Helvetica" w:cs="Helvetica"/>
            <w:color w:val="336699"/>
            <w:sz w:val="18"/>
            <w:szCs w:val="18"/>
            <w:shd w:val="clear" w:color="auto" w:fill="FFFFFF"/>
          </w:rPr>
          <w:t>Fig. 1</w:t>
        </w:r>
      </w:hyperlink>
      <w:r>
        <w:rPr>
          <w:rFonts w:ascii="Helvetica" w:hAnsi="Helvetica" w:cs="Helvetica"/>
          <w:color w:val="333333"/>
          <w:sz w:val="18"/>
          <w:szCs w:val="18"/>
          <w:shd w:val="clear" w:color="auto" w:fill="FFFFFF"/>
        </w:rPr>
        <w:t> ). De estos 50 pacientes, 8 pudieron regresar al hospital después de 2 semanas de terapia BBR, brindándonos la oportunidad de analizar la relación entre la expresión de FBG e InsR en estos pacientes. Como se muestra en la </w:t>
      </w:r>
      <w:hyperlink r:id="rId57" w:tgtFrame="_blank" w:history="1">
        <w:r>
          <w:rPr>
            <w:rStyle w:val="Hipervnculo"/>
            <w:rFonts w:ascii="Helvetica" w:hAnsi="Helvetica" w:cs="Helvetica"/>
            <w:color w:val="336699"/>
            <w:sz w:val="18"/>
            <w:szCs w:val="18"/>
            <w:shd w:val="clear" w:color="auto" w:fill="FFFFFF"/>
          </w:rPr>
          <w:t>Fig. 3</w:t>
        </w:r>
      </w:hyperlink>
      <w:r>
        <w:rPr>
          <w:rFonts w:ascii="Helvetica" w:hAnsi="Helvetica" w:cs="Helvetica"/>
          <w:color w:val="333333"/>
          <w:sz w:val="18"/>
          <w:szCs w:val="18"/>
          <w:shd w:val="clear" w:color="auto" w:fill="FFFFFF"/>
        </w:rPr>
        <w:t>B, los 8 pacientes demostraron una correlación negativa entre FBG y la expresión de InsR. El aumento de la expresión de InsR en la superficie de PBL fue acompañado por la reducción de la glucosa en sangre.</w:t>
      </w:r>
    </w:p>
    <w:p w14:paraId="0201DE34" w14:textId="77777777" w:rsidR="009D0AE0" w:rsidRPr="009D0AE0" w:rsidRDefault="009D0AE0" w:rsidP="007C0944">
      <w:pPr>
        <w:shd w:val="clear" w:color="auto" w:fill="FFFFFF"/>
        <w:spacing w:after="45" w:line="270" w:lineRule="atLeast"/>
        <w:jc w:val="both"/>
        <w:outlineLvl w:val="2"/>
        <w:rPr>
          <w:rFonts w:ascii="Georgia" w:eastAsia="Times New Roman" w:hAnsi="Georgia" w:cs="Times New Roman"/>
          <w:color w:val="333333"/>
          <w:sz w:val="27"/>
          <w:szCs w:val="27"/>
          <w:lang w:val="es-ES" w:eastAsia="es-ES"/>
        </w:rPr>
      </w:pPr>
      <w:r w:rsidRPr="009D0AE0">
        <w:rPr>
          <w:rFonts w:ascii="Georgia" w:eastAsia="Times New Roman" w:hAnsi="Georgia" w:cs="Times New Roman"/>
          <w:color w:val="333333"/>
          <w:sz w:val="27"/>
          <w:szCs w:val="27"/>
          <w:lang w:val="es-ES" w:eastAsia="es-ES"/>
        </w:rPr>
        <w:t>BBR es adecuado para pacientes hiperglucémicos con enfermedades hepáticas.</w:t>
      </w:r>
    </w:p>
    <w:p w14:paraId="1CB62D96" w14:textId="77777777" w:rsidR="009D0AE0" w:rsidRPr="009D0AE0" w:rsidRDefault="009D0AE0"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9D0AE0">
        <w:rPr>
          <w:rFonts w:ascii="Helvetica" w:eastAsia="Times New Roman" w:hAnsi="Helvetica" w:cs="Helvetica"/>
          <w:color w:val="333333"/>
          <w:sz w:val="18"/>
          <w:szCs w:val="18"/>
          <w:lang w:val="es-ES" w:eastAsia="es-ES"/>
        </w:rPr>
        <w:t>Aunque la metformina y las TZD son actualmente los medicamentos de primera línea para la DM2, sus efectos adversos en el hígado [ </w:t>
      </w:r>
      <w:hyperlink r:id="rId58" w:history="1">
        <w:r w:rsidRPr="009D0AE0">
          <w:rPr>
            <w:rFonts w:ascii="Helvetica" w:eastAsia="Times New Roman" w:hAnsi="Helvetica" w:cs="Helvetica"/>
            <w:color w:val="336699"/>
            <w:sz w:val="18"/>
            <w:szCs w:val="18"/>
            <w:u w:val="single"/>
            <w:lang w:val="es-ES" w:eastAsia="es-ES"/>
          </w:rPr>
          <w:t>12</w:t>
        </w:r>
      </w:hyperlink>
      <w:r w:rsidRPr="009D0AE0">
        <w:rPr>
          <w:rFonts w:ascii="Helvetica" w:eastAsia="Times New Roman" w:hAnsi="Helvetica" w:cs="Helvetica"/>
          <w:color w:val="333333"/>
          <w:sz w:val="18"/>
          <w:szCs w:val="18"/>
          <w:lang w:val="es-ES" w:eastAsia="es-ES"/>
        </w:rPr>
        <w:t> , </w:t>
      </w:r>
      <w:hyperlink r:id="rId59" w:history="1">
        <w:r w:rsidRPr="009D0AE0">
          <w:rPr>
            <w:rFonts w:ascii="Helvetica" w:eastAsia="Times New Roman" w:hAnsi="Helvetica" w:cs="Helvetica"/>
            <w:color w:val="336699"/>
            <w:sz w:val="18"/>
            <w:szCs w:val="18"/>
            <w:u w:val="single"/>
            <w:lang w:val="es-ES" w:eastAsia="es-ES"/>
          </w:rPr>
          <w:t>13</w:t>
        </w:r>
      </w:hyperlink>
      <w:r w:rsidRPr="009D0AE0">
        <w:rPr>
          <w:rFonts w:ascii="Helvetica" w:eastAsia="Times New Roman" w:hAnsi="Helvetica" w:cs="Helvetica"/>
          <w:color w:val="333333"/>
          <w:sz w:val="18"/>
          <w:szCs w:val="18"/>
          <w:lang w:val="es-ES" w:eastAsia="es-ES"/>
        </w:rPr>
        <w:t> ] causan preocupación para los pacientes hiperglucémicos con enfermedades hepáticas, especialmente en China, que tiene una gran población de pacientes con hepatitis viral. Nuestro informe anterior demostró que BBR era seguro y efectivo en el tratamiento de pacientes hiperlipidémicos con hepatitis viral crónica o cirrosis hepática [ </w:t>
      </w:r>
      <w:hyperlink r:id="rId60" w:history="1">
        <w:r w:rsidRPr="009D0AE0">
          <w:rPr>
            <w:rFonts w:ascii="Helvetica" w:eastAsia="Times New Roman" w:hAnsi="Helvetica" w:cs="Helvetica"/>
            <w:color w:val="336699"/>
            <w:sz w:val="18"/>
            <w:szCs w:val="18"/>
            <w:u w:val="single"/>
            <w:lang w:val="es-ES" w:eastAsia="es-ES"/>
          </w:rPr>
          <w:t>24</w:t>
        </w:r>
      </w:hyperlink>
      <w:r w:rsidRPr="009D0AE0">
        <w:rPr>
          <w:rFonts w:ascii="Helvetica" w:eastAsia="Times New Roman" w:hAnsi="Helvetica" w:cs="Helvetica"/>
          <w:color w:val="333333"/>
          <w:sz w:val="18"/>
          <w:szCs w:val="18"/>
          <w:lang w:val="es-ES" w:eastAsia="es-ES"/>
        </w:rPr>
        <w:t> ] ; Por lo tanto, inferimos que BBR también puede ser una buena opción en el tratamiento de pacientes hiperglucémicos con insuficiencia hepática. Para probar esta hipótesis, primero usamos BBR para tratar las células hepáticas humanas del VHB (+) (células HepG2.2.15) para saber si BBR puede regular o no la expresión de InsR en las células hepáticas con replicación del VHB. Como se muestra en la </w:t>
      </w:r>
      <w:hyperlink r:id="rId61" w:tgtFrame="_blank" w:history="1">
        <w:r w:rsidRPr="009D0AE0">
          <w:rPr>
            <w:rFonts w:ascii="Helvetica" w:eastAsia="Times New Roman" w:hAnsi="Helvetica" w:cs="Helvetica"/>
            <w:color w:val="336699"/>
            <w:sz w:val="18"/>
            <w:szCs w:val="18"/>
            <w:u w:val="single"/>
            <w:lang w:val="es-ES" w:eastAsia="es-ES"/>
          </w:rPr>
          <w:t>Fig. 4</w:t>
        </w:r>
      </w:hyperlink>
      <w:r w:rsidRPr="009D0AE0">
        <w:rPr>
          <w:rFonts w:ascii="Helvetica" w:eastAsia="Times New Roman" w:hAnsi="Helvetica" w:cs="Helvetica"/>
          <w:color w:val="333333"/>
          <w:sz w:val="18"/>
          <w:szCs w:val="18"/>
          <w:lang w:val="es-ES" w:eastAsia="es-ES"/>
        </w:rPr>
        <w:t>, El nivel de expresión de ARNm de InsR en células HepG2.2.15 se reguló por BBR de una manera dependiente de la dosis. A 10 </w:t>
      </w:r>
      <w:r w:rsidRPr="009D0AE0">
        <w:rPr>
          <w:rFonts w:ascii="Helvetica" w:eastAsia="Times New Roman" w:hAnsi="Helvetica" w:cs="Helvetica"/>
          <w:i/>
          <w:iCs/>
          <w:color w:val="333333"/>
          <w:sz w:val="18"/>
          <w:szCs w:val="18"/>
          <w:lang w:val="es-ES" w:eastAsia="es-ES"/>
        </w:rPr>
        <w:t>μ</w:t>
      </w:r>
      <w:r w:rsidRPr="009D0AE0">
        <w:rPr>
          <w:rFonts w:ascii="Helvetica" w:eastAsia="Times New Roman" w:hAnsi="Helvetica" w:cs="Helvetica"/>
          <w:color w:val="333333"/>
          <w:sz w:val="18"/>
          <w:szCs w:val="18"/>
          <w:lang w:val="es-ES" w:eastAsia="es-ES"/>
        </w:rPr>
        <w:t xml:space="preserve"> g / ml, BBR aumentó el nivel de ARNm de InsR en 1.73 veces </w:t>
      </w:r>
      <w:proofErr w:type="gramStart"/>
      <w:r w:rsidRPr="009D0AE0">
        <w:rPr>
          <w:rFonts w:ascii="Helvetica" w:eastAsia="Times New Roman" w:hAnsi="Helvetica" w:cs="Helvetica"/>
          <w:color w:val="333333"/>
          <w:sz w:val="18"/>
          <w:szCs w:val="18"/>
          <w:lang w:val="es-ES" w:eastAsia="es-ES"/>
        </w:rPr>
        <w:t>( </w:t>
      </w:r>
      <w:r w:rsidRPr="009D0AE0">
        <w:rPr>
          <w:rFonts w:ascii="Helvetica" w:eastAsia="Times New Roman" w:hAnsi="Helvetica" w:cs="Helvetica"/>
          <w:i/>
          <w:iCs/>
          <w:color w:val="333333"/>
          <w:sz w:val="18"/>
          <w:szCs w:val="18"/>
          <w:lang w:val="es-ES" w:eastAsia="es-ES"/>
        </w:rPr>
        <w:t>P</w:t>
      </w:r>
      <w:proofErr w:type="gramEnd"/>
      <w:r w:rsidRPr="009D0AE0">
        <w:rPr>
          <w:rFonts w:ascii="Helvetica" w:eastAsia="Times New Roman" w:hAnsi="Helvetica" w:cs="Helvetica"/>
          <w:color w:val="333333"/>
          <w:sz w:val="18"/>
          <w:szCs w:val="18"/>
          <w:lang w:val="es-ES" w:eastAsia="es-ES"/>
        </w:rPr>
        <w:t> &lt;.01 en comparación con el control no tratado).</w:t>
      </w:r>
    </w:p>
    <w:p w14:paraId="13FF8BEB" w14:textId="77777777" w:rsidR="009D0AE0" w:rsidRDefault="009D0AE0" w:rsidP="007C0944">
      <w:pPr>
        <w:spacing w:after="288" w:line="360" w:lineRule="atLeast"/>
        <w:jc w:val="both"/>
      </w:pPr>
      <w:r>
        <w:t xml:space="preserve">                                          </w:t>
      </w:r>
      <w:r w:rsidRPr="009D0AE0">
        <w:rPr>
          <w:noProof/>
        </w:rPr>
        <w:drawing>
          <wp:inline distT="0" distB="0" distL="0" distR="0" wp14:anchorId="1644B0DB" wp14:editId="644175EE">
            <wp:extent cx="3048000" cy="20478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3048000" cy="2047875"/>
                    </a:xfrm>
                    <a:prstGeom prst="rect">
                      <a:avLst/>
                    </a:prstGeom>
                  </pic:spPr>
                </pic:pic>
              </a:graphicData>
            </a:graphic>
          </wp:inline>
        </w:drawing>
      </w:r>
    </w:p>
    <w:p w14:paraId="4DA7783C" w14:textId="77777777" w:rsidR="009D0AE0" w:rsidRDefault="009D0AE0" w:rsidP="007C0944">
      <w:pPr>
        <w:spacing w:after="288" w:line="360" w:lineRule="atLeast"/>
        <w:jc w:val="both"/>
        <w:rPr>
          <w:rFonts w:ascii="Helvetica" w:hAnsi="Helvetica" w:cs="Helvetica"/>
          <w:color w:val="000000"/>
          <w:sz w:val="18"/>
          <w:szCs w:val="18"/>
          <w:shd w:val="clear" w:color="auto" w:fill="EFEFEF"/>
        </w:rPr>
      </w:pPr>
      <w:r>
        <w:rPr>
          <w:rFonts w:ascii="Helvetica" w:hAnsi="Helvetica" w:cs="Helvetica"/>
          <w:color w:val="000000"/>
          <w:sz w:val="18"/>
          <w:szCs w:val="18"/>
          <w:shd w:val="clear" w:color="auto" w:fill="EFEFEF"/>
        </w:rPr>
        <w:t>La berberina regula la expresión de InsR en células HepG2.2.15. Las células HepG2.2.15 se trataron con diferentes concentraciones de BBR como se indicó durante 12 horas. Los niveles de ARNm del receptor de insulina se analizaron mediante RT-PCR en tiempo real, se normalizaron a los de GAPDH y se representaron como un pliegue de control no tratado, que se designó como 1. Los valores son la media ± SEM de al menos 3 experimentos separados; </w:t>
      </w:r>
      <w:r>
        <w:rPr>
          <w:rStyle w:val="nfasis"/>
          <w:rFonts w:ascii="Helvetica" w:hAnsi="Helvetica" w:cs="Helvetica"/>
          <w:color w:val="000000"/>
          <w:sz w:val="18"/>
          <w:szCs w:val="18"/>
          <w:shd w:val="clear" w:color="auto" w:fill="EFEFEF"/>
        </w:rPr>
        <w:t>P</w:t>
      </w:r>
      <w:r>
        <w:rPr>
          <w:rFonts w:ascii="Helvetica" w:hAnsi="Helvetica" w:cs="Helvetica"/>
          <w:color w:val="000000"/>
          <w:sz w:val="18"/>
          <w:szCs w:val="18"/>
          <w:shd w:val="clear" w:color="auto" w:fill="EFEFEF"/>
        </w:rPr>
        <w:t> &lt;0,01 en comparación con el control no tratado mediante análisis de varianza de 1 vía y la prueba de Newman-</w:t>
      </w:r>
      <w:proofErr w:type="spellStart"/>
      <w:r>
        <w:rPr>
          <w:rFonts w:ascii="Helvetica" w:hAnsi="Helvetica" w:cs="Helvetica"/>
          <w:color w:val="000000"/>
          <w:sz w:val="18"/>
          <w:szCs w:val="18"/>
          <w:shd w:val="clear" w:color="auto" w:fill="EFEFEF"/>
        </w:rPr>
        <w:t>Keuls</w:t>
      </w:r>
      <w:proofErr w:type="spellEnd"/>
      <w:r>
        <w:rPr>
          <w:rFonts w:ascii="Helvetica" w:hAnsi="Helvetica" w:cs="Helvetica"/>
          <w:color w:val="000000"/>
          <w:sz w:val="18"/>
          <w:szCs w:val="18"/>
          <w:shd w:val="clear" w:color="auto" w:fill="EFEFEF"/>
        </w:rPr>
        <w:t>.</w:t>
      </w:r>
      <w:r>
        <w:rPr>
          <w:rFonts w:ascii="Helvetica" w:hAnsi="Helvetica" w:cs="Helvetica"/>
          <w:noProof/>
          <w:color w:val="000000"/>
          <w:sz w:val="20"/>
          <w:szCs w:val="20"/>
          <w:shd w:val="clear" w:color="auto" w:fill="EFEFEF"/>
          <w:vertAlign w:val="superscript"/>
        </w:rPr>
        <w:drawing>
          <wp:inline distT="0" distB="0" distL="0" distR="0" wp14:anchorId="3E562A64" wp14:editId="0AA50CA2">
            <wp:extent cx="85725" cy="200025"/>
            <wp:effectExtent l="0" t="0" r="9525" b="9525"/>
            <wp:docPr id="11" name="Imagen 11" descr="asterisco 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terisco baj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Pr>
          <w:rFonts w:ascii="Helvetica" w:hAnsi="Helvetica" w:cs="Helvetica"/>
          <w:noProof/>
          <w:color w:val="000000"/>
          <w:sz w:val="20"/>
          <w:szCs w:val="20"/>
          <w:shd w:val="clear" w:color="auto" w:fill="EFEFEF"/>
          <w:vertAlign w:val="superscript"/>
        </w:rPr>
        <w:drawing>
          <wp:inline distT="0" distB="0" distL="0" distR="0" wp14:anchorId="78E24F35" wp14:editId="1D05927A">
            <wp:extent cx="85725" cy="200025"/>
            <wp:effectExtent l="0" t="0" r="9525" b="9525"/>
            <wp:docPr id="10" name="Imagen 10" descr="asterisco 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sterisco baj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p>
    <w:p w14:paraId="2CBC62AD" w14:textId="77777777" w:rsidR="009D0AE0" w:rsidRDefault="009D0AE0" w:rsidP="007C0944">
      <w:pPr>
        <w:spacing w:after="288" w:line="360" w:lineRule="atLeast"/>
        <w:jc w:val="both"/>
        <w:rPr>
          <w:rFonts w:ascii="Helvetica" w:hAnsi="Helvetica" w:cs="Helvetica"/>
          <w:color w:val="333333"/>
          <w:sz w:val="18"/>
          <w:szCs w:val="18"/>
          <w:shd w:val="clear" w:color="auto" w:fill="FFFFFF"/>
        </w:rPr>
      </w:pPr>
      <w:r>
        <w:rPr>
          <w:rFonts w:ascii="Helvetica" w:hAnsi="Helvetica" w:cs="Helvetica"/>
          <w:color w:val="333333"/>
          <w:sz w:val="18"/>
          <w:szCs w:val="18"/>
          <w:shd w:val="clear" w:color="auto" w:fill="FFFFFF"/>
        </w:rPr>
        <w:lastRenderedPageBreak/>
        <w:t>Por lo tanto, ampliamos el estudio a la clínica. Treinta y cinco pacientes con hepatitis crónica con DM2 o IFG (criterios de diagnóstico según la Asociación Americana de Diabetes) se inscribieron en el Segundo Hospital de Nanjing. Entre ellos, 18 pacientes fueron diagnosticados con hepatitis C crónica (6 con DM2, 12 con IFG); y 17 pacientes tenían hepatitis B (7 con DM2, 10 con IFG). Todos los pacientes recibieron tratamiento BBR a una dosis de 1 g / día durante 2 meses. Los resultados se resumen en la </w:t>
      </w:r>
      <w:hyperlink r:id="rId63" w:anchor="tbl2" w:history="1">
        <w:r>
          <w:rPr>
            <w:rStyle w:val="Hipervnculo"/>
            <w:rFonts w:ascii="Helvetica" w:hAnsi="Helvetica" w:cs="Helvetica"/>
            <w:color w:val="336699"/>
            <w:sz w:val="18"/>
            <w:szCs w:val="18"/>
            <w:shd w:val="clear" w:color="auto" w:fill="FFFFFF"/>
          </w:rPr>
          <w:t>Tabla 2</w:t>
        </w:r>
      </w:hyperlink>
      <w:r>
        <w:rPr>
          <w:rFonts w:ascii="Helvetica" w:hAnsi="Helvetica" w:cs="Helvetica"/>
          <w:color w:val="333333"/>
          <w:sz w:val="18"/>
          <w:szCs w:val="18"/>
          <w:shd w:val="clear" w:color="auto" w:fill="FFFFFF"/>
        </w:rPr>
        <w:t xml:space="preserve"> . En el grupo de hepatitis C, la terapia BBR redujo la FBG en 17.1% y 13.4% y la TG en 19% y 17.6% en pacientes con DM2 e IFG, respectivamente </w:t>
      </w:r>
      <w:proofErr w:type="gramStart"/>
      <w:r>
        <w:rPr>
          <w:rFonts w:ascii="Helvetica" w:hAnsi="Helvetica" w:cs="Helvetica"/>
          <w:color w:val="333333"/>
          <w:sz w:val="18"/>
          <w:szCs w:val="18"/>
          <w:shd w:val="clear" w:color="auto" w:fill="FFFFFF"/>
        </w:rPr>
        <w:t>( </w:t>
      </w:r>
      <w:r>
        <w:rPr>
          <w:rStyle w:val="nfasis"/>
          <w:rFonts w:ascii="Helvetica" w:hAnsi="Helvetica" w:cs="Helvetica"/>
          <w:color w:val="333333"/>
          <w:sz w:val="18"/>
          <w:szCs w:val="18"/>
          <w:shd w:val="clear" w:color="auto" w:fill="FFFFFF"/>
        </w:rPr>
        <w:t>P</w:t>
      </w:r>
      <w:proofErr w:type="gramEnd"/>
      <w:r>
        <w:rPr>
          <w:rFonts w:ascii="Helvetica" w:hAnsi="Helvetica" w:cs="Helvetica"/>
          <w:color w:val="333333"/>
          <w:sz w:val="18"/>
          <w:szCs w:val="18"/>
          <w:shd w:val="clear" w:color="auto" w:fill="FFFFFF"/>
        </w:rPr>
        <w:t xml:space="preserve">&lt;.01 en comparación con eso antes del tratamiento). Los efectos de BBR en pacientes con hepatitis B fueron similares, con una reducción de 15.1% y 14.1% de FBG y una reducción de 16% y 16% de TG en los subgrupos T2DM e IFG, respectivamente </w:t>
      </w:r>
      <w:proofErr w:type="gramStart"/>
      <w:r>
        <w:rPr>
          <w:rFonts w:ascii="Helvetica" w:hAnsi="Helvetica" w:cs="Helvetica"/>
          <w:color w:val="333333"/>
          <w:sz w:val="18"/>
          <w:szCs w:val="18"/>
          <w:shd w:val="clear" w:color="auto" w:fill="FFFFFF"/>
        </w:rPr>
        <w:t>( </w:t>
      </w:r>
      <w:r>
        <w:rPr>
          <w:rStyle w:val="nfasis"/>
          <w:rFonts w:ascii="Helvetica" w:hAnsi="Helvetica" w:cs="Helvetica"/>
          <w:color w:val="333333"/>
          <w:sz w:val="18"/>
          <w:szCs w:val="18"/>
          <w:shd w:val="clear" w:color="auto" w:fill="FFFFFF"/>
        </w:rPr>
        <w:t>P</w:t>
      </w:r>
      <w:proofErr w:type="gramEnd"/>
      <w:r>
        <w:rPr>
          <w:rFonts w:ascii="Helvetica" w:hAnsi="Helvetica" w:cs="Helvetica"/>
          <w:color w:val="333333"/>
          <w:sz w:val="18"/>
          <w:szCs w:val="18"/>
          <w:shd w:val="clear" w:color="auto" w:fill="FFFFFF"/>
        </w:rPr>
        <w:t xml:space="preserve"> &lt;.01). La berberina es segura en estos pacientes. Los niveles elevados de ALT y aspartato aminotransferasa de los pacientes disminuyeron significativamente después de la terapia BBR </w:t>
      </w:r>
      <w:proofErr w:type="gramStart"/>
      <w:r>
        <w:rPr>
          <w:rFonts w:ascii="Helvetica" w:hAnsi="Helvetica" w:cs="Helvetica"/>
          <w:color w:val="333333"/>
          <w:sz w:val="18"/>
          <w:szCs w:val="18"/>
          <w:shd w:val="clear" w:color="auto" w:fill="FFFFFF"/>
        </w:rPr>
        <w:t>( </w:t>
      </w:r>
      <w:r>
        <w:rPr>
          <w:rStyle w:val="nfasis"/>
          <w:rFonts w:ascii="Helvetica" w:hAnsi="Helvetica" w:cs="Helvetica"/>
          <w:color w:val="333333"/>
          <w:sz w:val="18"/>
          <w:szCs w:val="18"/>
          <w:shd w:val="clear" w:color="auto" w:fill="FFFFFF"/>
        </w:rPr>
        <w:t>P</w:t>
      </w:r>
      <w:proofErr w:type="gramEnd"/>
      <w:r>
        <w:rPr>
          <w:rFonts w:ascii="Helvetica" w:hAnsi="Helvetica" w:cs="Helvetica"/>
          <w:color w:val="333333"/>
          <w:sz w:val="18"/>
          <w:szCs w:val="18"/>
          <w:shd w:val="clear" w:color="auto" w:fill="FFFFFF"/>
        </w:rPr>
        <w:t> &lt;.01 o </w:t>
      </w:r>
      <w:r>
        <w:rPr>
          <w:rStyle w:val="nfasis"/>
          <w:rFonts w:ascii="Helvetica" w:hAnsi="Helvetica" w:cs="Helvetica"/>
          <w:color w:val="333333"/>
          <w:sz w:val="18"/>
          <w:szCs w:val="18"/>
          <w:shd w:val="clear" w:color="auto" w:fill="FFFFFF"/>
        </w:rPr>
        <w:t>P</w:t>
      </w:r>
      <w:r>
        <w:rPr>
          <w:rFonts w:ascii="Helvetica" w:hAnsi="Helvetica" w:cs="Helvetica"/>
          <w:color w:val="333333"/>
          <w:sz w:val="18"/>
          <w:szCs w:val="18"/>
          <w:shd w:val="clear" w:color="auto" w:fill="FFFFFF"/>
        </w:rPr>
        <w:t> &lt;.001). Estos resultados sugieren que BBR es seguro y efectivo en pacientes hiperglucémicos con daño de la función hepática.</w:t>
      </w:r>
    </w:p>
    <w:tbl>
      <w:tblPr>
        <w:tblW w:w="0" w:type="auto"/>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891"/>
        <w:gridCol w:w="2151"/>
        <w:gridCol w:w="1257"/>
        <w:gridCol w:w="1257"/>
        <w:gridCol w:w="1206"/>
        <w:gridCol w:w="1256"/>
      </w:tblGrid>
      <w:tr w:rsidR="009D0AE0" w:rsidRPr="009D0AE0" w14:paraId="59D98EB4" w14:textId="77777777" w:rsidTr="009D0AE0">
        <w:trPr>
          <w:trHeight w:val="450"/>
          <w:tblCellSpacing w:w="15" w:type="dxa"/>
        </w:trPr>
        <w:tc>
          <w:tcPr>
            <w:tcW w:w="0" w:type="auto"/>
            <w:gridSpan w:val="6"/>
            <w:vMerge w:val="restart"/>
            <w:tcBorders>
              <w:top w:val="nil"/>
              <w:left w:val="nil"/>
              <w:bottom w:val="nil"/>
              <w:right w:val="nil"/>
            </w:tcBorders>
            <w:shd w:val="clear" w:color="auto" w:fill="B9CADC"/>
            <w:tcMar>
              <w:top w:w="105" w:type="dxa"/>
              <w:left w:w="105" w:type="dxa"/>
              <w:bottom w:w="105" w:type="dxa"/>
              <w:right w:w="105" w:type="dxa"/>
            </w:tcMar>
            <w:vAlign w:val="center"/>
            <w:hideMark/>
          </w:tcPr>
          <w:p w14:paraId="52224842" w14:textId="77777777" w:rsidR="009D0AE0" w:rsidRDefault="009D0AE0" w:rsidP="007C0944">
            <w:pPr>
              <w:spacing w:after="0" w:line="240" w:lineRule="auto"/>
              <w:jc w:val="both"/>
              <w:rPr>
                <w:rFonts w:ascii="Helvetica" w:eastAsia="Times New Roman" w:hAnsi="Helvetica" w:cs="Helvetica"/>
                <w:b/>
                <w:bCs/>
                <w:color w:val="333333"/>
                <w:sz w:val="21"/>
                <w:szCs w:val="21"/>
                <w:lang w:val="es-ES" w:eastAsia="es-ES"/>
              </w:rPr>
            </w:pPr>
            <w:r>
              <w:rPr>
                <w:rFonts w:ascii="Helvetica" w:eastAsia="Times New Roman" w:hAnsi="Helvetica" w:cs="Helvetica"/>
                <w:b/>
                <w:bCs/>
                <w:color w:val="333333"/>
                <w:sz w:val="21"/>
                <w:szCs w:val="21"/>
                <w:lang w:val="es-ES" w:eastAsia="es-ES"/>
              </w:rPr>
              <w:t>T</w:t>
            </w:r>
            <w:r w:rsidRPr="009D0AE0">
              <w:rPr>
                <w:rFonts w:ascii="Helvetica" w:eastAsia="Times New Roman" w:hAnsi="Helvetica" w:cs="Helvetica"/>
                <w:b/>
                <w:bCs/>
                <w:color w:val="333333"/>
                <w:sz w:val="21"/>
                <w:szCs w:val="21"/>
                <w:lang w:val="es-ES" w:eastAsia="es-ES"/>
              </w:rPr>
              <w:t>abla 2</w:t>
            </w:r>
          </w:p>
          <w:p w14:paraId="083AFBC6" w14:textId="77777777" w:rsidR="009D0AE0" w:rsidRPr="009D0AE0" w:rsidRDefault="009D0AE0" w:rsidP="007C0944">
            <w:pPr>
              <w:spacing w:after="0" w:line="240" w:lineRule="auto"/>
              <w:jc w:val="both"/>
              <w:rPr>
                <w:rFonts w:ascii="Helvetica" w:eastAsia="Times New Roman" w:hAnsi="Helvetica" w:cs="Helvetica"/>
                <w:color w:val="333333"/>
                <w:sz w:val="18"/>
                <w:szCs w:val="18"/>
                <w:lang w:val="es-ES" w:eastAsia="es-ES"/>
              </w:rPr>
            </w:pPr>
            <w:r w:rsidRPr="009D0AE0">
              <w:rPr>
                <w:rFonts w:ascii="Helvetica" w:eastAsia="Times New Roman" w:hAnsi="Helvetica" w:cs="Helvetica"/>
                <w:color w:val="333333"/>
                <w:sz w:val="18"/>
                <w:szCs w:val="18"/>
                <w:lang w:val="es-ES" w:eastAsia="es-ES"/>
              </w:rPr>
              <w:t>Efectos de BBR en pacientes con hepatitis crónica con DM2 o IFG</w:t>
            </w:r>
          </w:p>
        </w:tc>
      </w:tr>
      <w:tr w:rsidR="009D0AE0" w:rsidRPr="009D0AE0" w14:paraId="24A24261" w14:textId="77777777" w:rsidTr="009D0AE0">
        <w:trPr>
          <w:tblCellSpacing w:w="15" w:type="dxa"/>
        </w:trPr>
        <w:tc>
          <w:tcPr>
            <w:tcW w:w="0" w:type="auto"/>
            <w:vMerge w:val="restart"/>
            <w:tcBorders>
              <w:bottom w:val="single" w:sz="6" w:space="0" w:color="CCCCCC"/>
            </w:tcBorders>
            <w:shd w:val="clear" w:color="auto" w:fill="B9CADC"/>
            <w:tcMar>
              <w:top w:w="105" w:type="dxa"/>
              <w:left w:w="105" w:type="dxa"/>
              <w:bottom w:w="105" w:type="dxa"/>
              <w:right w:w="105" w:type="dxa"/>
            </w:tcMar>
            <w:vAlign w:val="bottom"/>
            <w:hideMark/>
          </w:tcPr>
          <w:p w14:paraId="0A447CF0" w14:textId="77777777" w:rsidR="009D0AE0" w:rsidRPr="009D0AE0" w:rsidRDefault="009D0AE0" w:rsidP="007C0944">
            <w:pPr>
              <w:spacing w:after="0" w:line="240" w:lineRule="auto"/>
              <w:jc w:val="both"/>
              <w:rPr>
                <w:rFonts w:ascii="Helvetica" w:eastAsia="Times New Roman" w:hAnsi="Helvetica" w:cs="Helvetica"/>
                <w:b/>
                <w:bCs/>
                <w:color w:val="333333"/>
                <w:sz w:val="18"/>
                <w:szCs w:val="18"/>
                <w:lang w:val="es-ES" w:eastAsia="es-ES"/>
              </w:rPr>
            </w:pPr>
            <w:r w:rsidRPr="009D0AE0">
              <w:rPr>
                <w:rFonts w:ascii="Helvetica" w:eastAsia="Times New Roman" w:hAnsi="Helvetica" w:cs="Helvetica"/>
                <w:b/>
                <w:bCs/>
                <w:color w:val="333333"/>
                <w:sz w:val="18"/>
                <w:szCs w:val="18"/>
                <w:lang w:val="es-ES" w:eastAsia="es-ES"/>
              </w:rPr>
              <w:t>Medición (rango de referencia)</w:t>
            </w:r>
          </w:p>
        </w:tc>
        <w:tc>
          <w:tcPr>
            <w:tcW w:w="0" w:type="auto"/>
            <w:vMerge w:val="restart"/>
            <w:tcBorders>
              <w:bottom w:val="single" w:sz="6" w:space="0" w:color="CCCCCC"/>
            </w:tcBorders>
            <w:shd w:val="clear" w:color="auto" w:fill="B9CADC"/>
            <w:tcMar>
              <w:top w:w="105" w:type="dxa"/>
              <w:left w:w="105" w:type="dxa"/>
              <w:bottom w:w="105" w:type="dxa"/>
              <w:right w:w="105" w:type="dxa"/>
            </w:tcMar>
            <w:vAlign w:val="bottom"/>
            <w:hideMark/>
          </w:tcPr>
          <w:p w14:paraId="0079CC19" w14:textId="77777777" w:rsidR="009D0AE0" w:rsidRPr="009D0AE0" w:rsidRDefault="009D0AE0" w:rsidP="007C0944">
            <w:pPr>
              <w:spacing w:after="0" w:line="240" w:lineRule="auto"/>
              <w:jc w:val="both"/>
              <w:rPr>
                <w:rFonts w:ascii="Helvetica" w:eastAsia="Times New Roman" w:hAnsi="Helvetica" w:cs="Helvetica"/>
                <w:b/>
                <w:bCs/>
                <w:color w:val="333333"/>
                <w:sz w:val="18"/>
                <w:szCs w:val="18"/>
                <w:lang w:val="es-ES" w:eastAsia="es-ES"/>
              </w:rPr>
            </w:pPr>
            <w:r w:rsidRPr="009D0AE0">
              <w:rPr>
                <w:rFonts w:ascii="Helvetica" w:eastAsia="Times New Roman" w:hAnsi="Helvetica" w:cs="Helvetica"/>
                <w:b/>
                <w:bCs/>
                <w:color w:val="333333"/>
                <w:sz w:val="18"/>
                <w:szCs w:val="18"/>
                <w:lang w:val="es-ES" w:eastAsia="es-ES"/>
              </w:rPr>
              <w:t>Tratamiento (2 meses)</w:t>
            </w:r>
          </w:p>
        </w:tc>
        <w:tc>
          <w:tcPr>
            <w:tcW w:w="0" w:type="auto"/>
            <w:gridSpan w:val="2"/>
            <w:tcBorders>
              <w:bottom w:val="single" w:sz="6" w:space="0" w:color="CCCCCC"/>
            </w:tcBorders>
            <w:shd w:val="clear" w:color="auto" w:fill="B9CADC"/>
            <w:tcMar>
              <w:top w:w="105" w:type="dxa"/>
              <w:left w:w="105" w:type="dxa"/>
              <w:bottom w:w="105" w:type="dxa"/>
              <w:right w:w="105" w:type="dxa"/>
            </w:tcMar>
            <w:vAlign w:val="bottom"/>
            <w:hideMark/>
          </w:tcPr>
          <w:p w14:paraId="5B978471" w14:textId="77777777" w:rsidR="009D0AE0" w:rsidRPr="009D0AE0" w:rsidRDefault="009D0AE0" w:rsidP="007C0944">
            <w:pPr>
              <w:spacing w:after="0" w:line="240" w:lineRule="auto"/>
              <w:jc w:val="both"/>
              <w:rPr>
                <w:rFonts w:ascii="Helvetica" w:eastAsia="Times New Roman" w:hAnsi="Helvetica" w:cs="Helvetica"/>
                <w:b/>
                <w:bCs/>
                <w:color w:val="333333"/>
                <w:sz w:val="18"/>
                <w:szCs w:val="18"/>
                <w:lang w:val="es-ES" w:eastAsia="es-ES"/>
              </w:rPr>
            </w:pPr>
            <w:r w:rsidRPr="009D0AE0">
              <w:rPr>
                <w:rFonts w:ascii="Helvetica" w:eastAsia="Times New Roman" w:hAnsi="Helvetica" w:cs="Helvetica"/>
                <w:b/>
                <w:bCs/>
                <w:color w:val="333333"/>
                <w:sz w:val="18"/>
                <w:szCs w:val="18"/>
                <w:lang w:val="es-ES" w:eastAsia="es-ES"/>
              </w:rPr>
              <w:t>Hepatitis C</w:t>
            </w:r>
          </w:p>
        </w:tc>
        <w:tc>
          <w:tcPr>
            <w:tcW w:w="0" w:type="auto"/>
            <w:gridSpan w:val="2"/>
            <w:tcBorders>
              <w:bottom w:val="single" w:sz="6" w:space="0" w:color="CCCCCC"/>
            </w:tcBorders>
            <w:shd w:val="clear" w:color="auto" w:fill="B9CADC"/>
            <w:tcMar>
              <w:top w:w="105" w:type="dxa"/>
              <w:left w:w="105" w:type="dxa"/>
              <w:bottom w:w="105" w:type="dxa"/>
              <w:right w:w="105" w:type="dxa"/>
            </w:tcMar>
            <w:vAlign w:val="bottom"/>
            <w:hideMark/>
          </w:tcPr>
          <w:p w14:paraId="5EC0C714" w14:textId="77777777" w:rsidR="009D0AE0" w:rsidRPr="009D0AE0" w:rsidRDefault="009D0AE0" w:rsidP="007C0944">
            <w:pPr>
              <w:spacing w:after="0" w:line="240" w:lineRule="auto"/>
              <w:jc w:val="both"/>
              <w:rPr>
                <w:rFonts w:ascii="Helvetica" w:eastAsia="Times New Roman" w:hAnsi="Helvetica" w:cs="Helvetica"/>
                <w:b/>
                <w:bCs/>
                <w:color w:val="333333"/>
                <w:sz w:val="18"/>
                <w:szCs w:val="18"/>
                <w:lang w:val="es-ES" w:eastAsia="es-ES"/>
              </w:rPr>
            </w:pPr>
            <w:r w:rsidRPr="009D0AE0">
              <w:rPr>
                <w:rFonts w:ascii="Helvetica" w:eastAsia="Times New Roman" w:hAnsi="Helvetica" w:cs="Helvetica"/>
                <w:b/>
                <w:bCs/>
                <w:color w:val="333333"/>
                <w:sz w:val="18"/>
                <w:szCs w:val="18"/>
                <w:lang w:val="es-ES" w:eastAsia="es-ES"/>
              </w:rPr>
              <w:t>Hepatitis B</w:t>
            </w:r>
          </w:p>
        </w:tc>
      </w:tr>
      <w:tr w:rsidR="009D0AE0" w:rsidRPr="009D0AE0" w14:paraId="403F3513" w14:textId="77777777" w:rsidTr="009D0AE0">
        <w:trPr>
          <w:tblCellSpacing w:w="15" w:type="dxa"/>
        </w:trPr>
        <w:tc>
          <w:tcPr>
            <w:tcW w:w="0" w:type="auto"/>
            <w:vMerge/>
            <w:tcBorders>
              <w:bottom w:val="single" w:sz="6" w:space="0" w:color="CCCCCC"/>
            </w:tcBorders>
            <w:shd w:val="clear" w:color="auto" w:fill="F7F7F7"/>
            <w:vAlign w:val="center"/>
            <w:hideMark/>
          </w:tcPr>
          <w:p w14:paraId="7FD93D3B" w14:textId="77777777" w:rsidR="009D0AE0" w:rsidRPr="009D0AE0" w:rsidRDefault="009D0AE0" w:rsidP="007C0944">
            <w:pPr>
              <w:spacing w:after="0" w:line="240" w:lineRule="auto"/>
              <w:jc w:val="both"/>
              <w:rPr>
                <w:rFonts w:ascii="Helvetica" w:eastAsia="Times New Roman" w:hAnsi="Helvetica" w:cs="Helvetica"/>
                <w:b/>
                <w:bCs/>
                <w:color w:val="333333"/>
                <w:sz w:val="18"/>
                <w:szCs w:val="18"/>
                <w:lang w:val="es-ES" w:eastAsia="es-ES"/>
              </w:rPr>
            </w:pPr>
          </w:p>
        </w:tc>
        <w:tc>
          <w:tcPr>
            <w:tcW w:w="0" w:type="auto"/>
            <w:vMerge/>
            <w:tcBorders>
              <w:bottom w:val="single" w:sz="6" w:space="0" w:color="CCCCCC"/>
            </w:tcBorders>
            <w:shd w:val="clear" w:color="auto" w:fill="F7F7F7"/>
            <w:vAlign w:val="center"/>
            <w:hideMark/>
          </w:tcPr>
          <w:p w14:paraId="4C0EF0E7" w14:textId="77777777" w:rsidR="009D0AE0" w:rsidRPr="009D0AE0" w:rsidRDefault="009D0AE0" w:rsidP="007C0944">
            <w:pPr>
              <w:spacing w:after="0" w:line="240" w:lineRule="auto"/>
              <w:jc w:val="both"/>
              <w:rPr>
                <w:rFonts w:ascii="Helvetica" w:eastAsia="Times New Roman" w:hAnsi="Helvetica" w:cs="Helvetica"/>
                <w:b/>
                <w:bCs/>
                <w:color w:val="333333"/>
                <w:sz w:val="18"/>
                <w:szCs w:val="18"/>
                <w:lang w:val="es-ES" w:eastAsia="es-ES"/>
              </w:rPr>
            </w:pP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14:paraId="743C9A1E" w14:textId="77777777" w:rsidR="009D0AE0" w:rsidRPr="009D0AE0" w:rsidRDefault="009D0AE0" w:rsidP="007C0944">
            <w:pPr>
              <w:spacing w:after="0" w:line="240" w:lineRule="auto"/>
              <w:jc w:val="both"/>
              <w:rPr>
                <w:rFonts w:ascii="Helvetica" w:eastAsia="Times New Roman" w:hAnsi="Helvetica" w:cs="Helvetica"/>
                <w:b/>
                <w:bCs/>
                <w:color w:val="333333"/>
                <w:sz w:val="18"/>
                <w:szCs w:val="18"/>
                <w:lang w:val="es-ES" w:eastAsia="es-ES"/>
              </w:rPr>
            </w:pPr>
            <w:r w:rsidRPr="009D0AE0">
              <w:rPr>
                <w:rFonts w:ascii="Helvetica" w:eastAsia="Times New Roman" w:hAnsi="Helvetica" w:cs="Helvetica"/>
                <w:b/>
                <w:bCs/>
                <w:color w:val="333333"/>
                <w:sz w:val="18"/>
                <w:szCs w:val="18"/>
                <w:lang w:val="es-ES" w:eastAsia="es-ES"/>
              </w:rPr>
              <w:t>DM2 (n = 6)</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14:paraId="53F166AF" w14:textId="77777777" w:rsidR="009D0AE0" w:rsidRPr="009D0AE0" w:rsidRDefault="009D0AE0" w:rsidP="007C0944">
            <w:pPr>
              <w:spacing w:after="0" w:line="240" w:lineRule="auto"/>
              <w:jc w:val="both"/>
              <w:rPr>
                <w:rFonts w:ascii="Helvetica" w:eastAsia="Times New Roman" w:hAnsi="Helvetica" w:cs="Helvetica"/>
                <w:b/>
                <w:bCs/>
                <w:color w:val="333333"/>
                <w:sz w:val="18"/>
                <w:szCs w:val="18"/>
                <w:lang w:val="es-ES" w:eastAsia="es-ES"/>
              </w:rPr>
            </w:pPr>
            <w:r w:rsidRPr="009D0AE0">
              <w:rPr>
                <w:rFonts w:ascii="Helvetica" w:eastAsia="Times New Roman" w:hAnsi="Helvetica" w:cs="Helvetica"/>
                <w:b/>
                <w:bCs/>
                <w:color w:val="333333"/>
                <w:sz w:val="18"/>
                <w:szCs w:val="18"/>
                <w:lang w:val="es-ES" w:eastAsia="es-ES"/>
              </w:rPr>
              <w:t>IFG (n = 12)</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14:paraId="6EFD3617" w14:textId="77777777" w:rsidR="009D0AE0" w:rsidRPr="009D0AE0" w:rsidRDefault="009D0AE0" w:rsidP="007C0944">
            <w:pPr>
              <w:spacing w:after="0" w:line="240" w:lineRule="auto"/>
              <w:jc w:val="both"/>
              <w:rPr>
                <w:rFonts w:ascii="Helvetica" w:eastAsia="Times New Roman" w:hAnsi="Helvetica" w:cs="Helvetica"/>
                <w:b/>
                <w:bCs/>
                <w:color w:val="333333"/>
                <w:sz w:val="18"/>
                <w:szCs w:val="18"/>
                <w:lang w:val="es-ES" w:eastAsia="es-ES"/>
              </w:rPr>
            </w:pPr>
            <w:r w:rsidRPr="009D0AE0">
              <w:rPr>
                <w:rFonts w:ascii="Helvetica" w:eastAsia="Times New Roman" w:hAnsi="Helvetica" w:cs="Helvetica"/>
                <w:b/>
                <w:bCs/>
                <w:color w:val="333333"/>
                <w:sz w:val="18"/>
                <w:szCs w:val="18"/>
                <w:lang w:val="es-ES" w:eastAsia="es-ES"/>
              </w:rPr>
              <w:t>DM2 (n = 7)</w:t>
            </w:r>
          </w:p>
        </w:tc>
        <w:tc>
          <w:tcPr>
            <w:tcW w:w="0" w:type="auto"/>
            <w:tcBorders>
              <w:bottom w:val="single" w:sz="6" w:space="0" w:color="CCCCCC"/>
            </w:tcBorders>
            <w:shd w:val="clear" w:color="auto" w:fill="B9CADC"/>
            <w:tcMar>
              <w:top w:w="105" w:type="dxa"/>
              <w:left w:w="105" w:type="dxa"/>
              <w:bottom w:w="105" w:type="dxa"/>
              <w:right w:w="105" w:type="dxa"/>
            </w:tcMar>
            <w:vAlign w:val="bottom"/>
            <w:hideMark/>
          </w:tcPr>
          <w:p w14:paraId="03110D7D" w14:textId="77777777" w:rsidR="009D0AE0" w:rsidRPr="009D0AE0" w:rsidRDefault="009D0AE0" w:rsidP="007C0944">
            <w:pPr>
              <w:spacing w:after="0" w:line="240" w:lineRule="auto"/>
              <w:jc w:val="both"/>
              <w:rPr>
                <w:rFonts w:ascii="Helvetica" w:eastAsia="Times New Roman" w:hAnsi="Helvetica" w:cs="Helvetica"/>
                <w:b/>
                <w:bCs/>
                <w:color w:val="333333"/>
                <w:sz w:val="18"/>
                <w:szCs w:val="18"/>
                <w:lang w:val="es-ES" w:eastAsia="es-ES"/>
              </w:rPr>
            </w:pPr>
            <w:r w:rsidRPr="009D0AE0">
              <w:rPr>
                <w:rFonts w:ascii="Helvetica" w:eastAsia="Times New Roman" w:hAnsi="Helvetica" w:cs="Helvetica"/>
                <w:b/>
                <w:bCs/>
                <w:color w:val="333333"/>
                <w:sz w:val="18"/>
                <w:szCs w:val="18"/>
                <w:lang w:val="es-ES" w:eastAsia="es-ES"/>
              </w:rPr>
              <w:t>IFG (n = 10)</w:t>
            </w:r>
          </w:p>
        </w:tc>
      </w:tr>
      <w:tr w:rsidR="009D0AE0" w:rsidRPr="009D0AE0" w14:paraId="56597EA4" w14:textId="77777777" w:rsidTr="009D0AE0">
        <w:trPr>
          <w:tblCellSpacing w:w="15" w:type="dxa"/>
        </w:trPr>
        <w:tc>
          <w:tcPr>
            <w:tcW w:w="0" w:type="auto"/>
            <w:shd w:val="clear" w:color="auto" w:fill="FFFFFF"/>
            <w:tcMar>
              <w:top w:w="105" w:type="dxa"/>
              <w:left w:w="105" w:type="dxa"/>
              <w:bottom w:w="105" w:type="dxa"/>
              <w:right w:w="105" w:type="dxa"/>
            </w:tcMar>
            <w:hideMark/>
          </w:tcPr>
          <w:p w14:paraId="53E3EA60"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FBG</w:t>
            </w:r>
          </w:p>
        </w:tc>
        <w:tc>
          <w:tcPr>
            <w:tcW w:w="0" w:type="auto"/>
            <w:shd w:val="clear" w:color="auto" w:fill="FFFFFF"/>
            <w:tcMar>
              <w:top w:w="105" w:type="dxa"/>
              <w:left w:w="105" w:type="dxa"/>
              <w:bottom w:w="105" w:type="dxa"/>
              <w:right w:w="105" w:type="dxa"/>
            </w:tcMar>
            <w:hideMark/>
          </w:tcPr>
          <w:p w14:paraId="69A358DD"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antes de</w:t>
            </w:r>
          </w:p>
        </w:tc>
        <w:tc>
          <w:tcPr>
            <w:tcW w:w="0" w:type="auto"/>
            <w:shd w:val="clear" w:color="auto" w:fill="FFFFFF"/>
            <w:tcMar>
              <w:top w:w="105" w:type="dxa"/>
              <w:left w:w="105" w:type="dxa"/>
              <w:bottom w:w="105" w:type="dxa"/>
              <w:right w:w="105" w:type="dxa"/>
            </w:tcMar>
            <w:hideMark/>
          </w:tcPr>
          <w:p w14:paraId="3A94F705"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7.6 ± 0.5</w:t>
            </w:r>
          </w:p>
        </w:tc>
        <w:tc>
          <w:tcPr>
            <w:tcW w:w="0" w:type="auto"/>
            <w:shd w:val="clear" w:color="auto" w:fill="FFFFFF"/>
            <w:tcMar>
              <w:top w:w="105" w:type="dxa"/>
              <w:left w:w="105" w:type="dxa"/>
              <w:bottom w:w="105" w:type="dxa"/>
              <w:right w:w="105" w:type="dxa"/>
            </w:tcMar>
            <w:hideMark/>
          </w:tcPr>
          <w:p w14:paraId="7FD54165"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6.7 ± 0.3</w:t>
            </w:r>
          </w:p>
        </w:tc>
        <w:tc>
          <w:tcPr>
            <w:tcW w:w="0" w:type="auto"/>
            <w:shd w:val="clear" w:color="auto" w:fill="FFFFFF"/>
            <w:tcMar>
              <w:top w:w="105" w:type="dxa"/>
              <w:left w:w="105" w:type="dxa"/>
              <w:bottom w:w="105" w:type="dxa"/>
              <w:right w:w="105" w:type="dxa"/>
            </w:tcMar>
            <w:hideMark/>
          </w:tcPr>
          <w:p w14:paraId="333AC3F1"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7.3 ± 0.2</w:t>
            </w:r>
          </w:p>
        </w:tc>
        <w:tc>
          <w:tcPr>
            <w:tcW w:w="0" w:type="auto"/>
            <w:shd w:val="clear" w:color="auto" w:fill="FFFFFF"/>
            <w:tcMar>
              <w:top w:w="105" w:type="dxa"/>
              <w:left w:w="105" w:type="dxa"/>
              <w:bottom w:w="105" w:type="dxa"/>
              <w:right w:w="105" w:type="dxa"/>
            </w:tcMar>
            <w:hideMark/>
          </w:tcPr>
          <w:p w14:paraId="707BBEF4"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6.4 ± 0.5</w:t>
            </w:r>
          </w:p>
        </w:tc>
      </w:tr>
      <w:tr w:rsidR="009D0AE0" w:rsidRPr="009D0AE0" w14:paraId="640F06F6" w14:textId="77777777" w:rsidTr="009D0AE0">
        <w:trPr>
          <w:tblCellSpacing w:w="15" w:type="dxa"/>
        </w:trPr>
        <w:tc>
          <w:tcPr>
            <w:tcW w:w="0" w:type="auto"/>
            <w:shd w:val="clear" w:color="auto" w:fill="F7F7F7"/>
            <w:tcMar>
              <w:top w:w="105" w:type="dxa"/>
              <w:left w:w="105" w:type="dxa"/>
              <w:bottom w:w="105" w:type="dxa"/>
              <w:right w:w="105" w:type="dxa"/>
            </w:tcMar>
            <w:hideMark/>
          </w:tcPr>
          <w:p w14:paraId="425C37EA"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(3.9-5.6 mmol / L)</w:t>
            </w:r>
          </w:p>
        </w:tc>
        <w:tc>
          <w:tcPr>
            <w:tcW w:w="0" w:type="auto"/>
            <w:shd w:val="clear" w:color="auto" w:fill="F7F7F7"/>
            <w:tcMar>
              <w:top w:w="105" w:type="dxa"/>
              <w:left w:w="105" w:type="dxa"/>
              <w:bottom w:w="105" w:type="dxa"/>
              <w:right w:w="105" w:type="dxa"/>
            </w:tcMar>
            <w:hideMark/>
          </w:tcPr>
          <w:p w14:paraId="66D9D9C8"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Después</w:t>
            </w:r>
          </w:p>
        </w:tc>
        <w:tc>
          <w:tcPr>
            <w:tcW w:w="0" w:type="auto"/>
            <w:shd w:val="clear" w:color="auto" w:fill="F7F7F7"/>
            <w:tcMar>
              <w:top w:w="105" w:type="dxa"/>
              <w:left w:w="105" w:type="dxa"/>
              <w:bottom w:w="105" w:type="dxa"/>
              <w:right w:w="105" w:type="dxa"/>
            </w:tcMar>
            <w:hideMark/>
          </w:tcPr>
          <w:p w14:paraId="4E84BC53"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6.3 ± 0.6 </w:t>
            </w:r>
            <w:hyperlink r:id="rId64" w:anchor="title-footnote-tblfn3" w:history="1">
              <w:r w:rsidRPr="009D0AE0">
                <w:rPr>
                  <w:rFonts w:ascii="Tahoma" w:eastAsia="Times New Roman" w:hAnsi="Tahoma" w:cs="Tahoma"/>
                  <w:color w:val="336699"/>
                  <w:sz w:val="20"/>
                  <w:szCs w:val="20"/>
                  <w:u w:val="single"/>
                  <w:vertAlign w:val="superscript"/>
                  <w:lang w:val="es-ES" w:eastAsia="es-ES"/>
                </w:rPr>
                <w:t>⁎</w:t>
              </w:r>
            </w:hyperlink>
          </w:p>
        </w:tc>
        <w:tc>
          <w:tcPr>
            <w:tcW w:w="0" w:type="auto"/>
            <w:shd w:val="clear" w:color="auto" w:fill="F7F7F7"/>
            <w:tcMar>
              <w:top w:w="105" w:type="dxa"/>
              <w:left w:w="105" w:type="dxa"/>
              <w:bottom w:w="105" w:type="dxa"/>
              <w:right w:w="105" w:type="dxa"/>
            </w:tcMar>
            <w:hideMark/>
          </w:tcPr>
          <w:p w14:paraId="5539A0DB"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5.8 ± 0.3 </w:t>
            </w:r>
            <w:hyperlink r:id="rId65" w:anchor="title-footnote-tblfn3" w:history="1">
              <w:r w:rsidRPr="009D0AE0">
                <w:rPr>
                  <w:rFonts w:ascii="Tahoma" w:eastAsia="Times New Roman" w:hAnsi="Tahoma" w:cs="Tahoma"/>
                  <w:color w:val="336699"/>
                  <w:sz w:val="20"/>
                  <w:szCs w:val="20"/>
                  <w:u w:val="single"/>
                  <w:vertAlign w:val="superscript"/>
                  <w:lang w:val="es-ES" w:eastAsia="es-ES"/>
                </w:rPr>
                <w:t>⁎</w:t>
              </w:r>
            </w:hyperlink>
          </w:p>
        </w:tc>
        <w:tc>
          <w:tcPr>
            <w:tcW w:w="0" w:type="auto"/>
            <w:shd w:val="clear" w:color="auto" w:fill="F7F7F7"/>
            <w:tcMar>
              <w:top w:w="105" w:type="dxa"/>
              <w:left w:w="105" w:type="dxa"/>
              <w:bottom w:w="105" w:type="dxa"/>
              <w:right w:w="105" w:type="dxa"/>
            </w:tcMar>
            <w:hideMark/>
          </w:tcPr>
          <w:p w14:paraId="1EDCD032"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6.2 ± 0.3 </w:t>
            </w:r>
            <w:hyperlink r:id="rId66" w:anchor="title-footnote-tblfn3" w:history="1">
              <w:r w:rsidRPr="009D0AE0">
                <w:rPr>
                  <w:rFonts w:ascii="Tahoma" w:eastAsia="Times New Roman" w:hAnsi="Tahoma" w:cs="Tahoma"/>
                  <w:color w:val="336699"/>
                  <w:sz w:val="20"/>
                  <w:szCs w:val="20"/>
                  <w:u w:val="single"/>
                  <w:vertAlign w:val="superscript"/>
                  <w:lang w:val="es-ES" w:eastAsia="es-ES"/>
                </w:rPr>
                <w:t>⁎</w:t>
              </w:r>
            </w:hyperlink>
          </w:p>
        </w:tc>
        <w:tc>
          <w:tcPr>
            <w:tcW w:w="0" w:type="auto"/>
            <w:shd w:val="clear" w:color="auto" w:fill="F7F7F7"/>
            <w:tcMar>
              <w:top w:w="105" w:type="dxa"/>
              <w:left w:w="105" w:type="dxa"/>
              <w:bottom w:w="105" w:type="dxa"/>
              <w:right w:w="105" w:type="dxa"/>
            </w:tcMar>
            <w:hideMark/>
          </w:tcPr>
          <w:p w14:paraId="182BD174"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5.5 ± 0.4 </w:t>
            </w:r>
            <w:hyperlink r:id="rId67" w:anchor="title-footnote-tblfn3" w:history="1">
              <w:r w:rsidRPr="009D0AE0">
                <w:rPr>
                  <w:rFonts w:ascii="Tahoma" w:eastAsia="Times New Roman" w:hAnsi="Tahoma" w:cs="Tahoma"/>
                  <w:color w:val="336699"/>
                  <w:sz w:val="20"/>
                  <w:szCs w:val="20"/>
                  <w:u w:val="single"/>
                  <w:vertAlign w:val="superscript"/>
                  <w:lang w:val="es-ES" w:eastAsia="es-ES"/>
                </w:rPr>
                <w:t>⁎</w:t>
              </w:r>
            </w:hyperlink>
          </w:p>
        </w:tc>
      </w:tr>
      <w:tr w:rsidR="009D0AE0" w:rsidRPr="009D0AE0" w14:paraId="0456BEEB" w14:textId="77777777" w:rsidTr="009D0AE0">
        <w:trPr>
          <w:tblCellSpacing w:w="15" w:type="dxa"/>
        </w:trPr>
        <w:tc>
          <w:tcPr>
            <w:tcW w:w="0" w:type="auto"/>
            <w:shd w:val="clear" w:color="auto" w:fill="FFFFFF"/>
            <w:tcMar>
              <w:top w:w="105" w:type="dxa"/>
              <w:left w:w="105" w:type="dxa"/>
              <w:bottom w:w="105" w:type="dxa"/>
              <w:right w:w="105" w:type="dxa"/>
            </w:tcMar>
            <w:hideMark/>
          </w:tcPr>
          <w:p w14:paraId="2F8AF192"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TG</w:t>
            </w:r>
          </w:p>
        </w:tc>
        <w:tc>
          <w:tcPr>
            <w:tcW w:w="0" w:type="auto"/>
            <w:shd w:val="clear" w:color="auto" w:fill="FFFFFF"/>
            <w:tcMar>
              <w:top w:w="105" w:type="dxa"/>
              <w:left w:w="105" w:type="dxa"/>
              <w:bottom w:w="105" w:type="dxa"/>
              <w:right w:w="105" w:type="dxa"/>
            </w:tcMar>
            <w:hideMark/>
          </w:tcPr>
          <w:p w14:paraId="00623E97"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antes de</w:t>
            </w:r>
          </w:p>
        </w:tc>
        <w:tc>
          <w:tcPr>
            <w:tcW w:w="0" w:type="auto"/>
            <w:shd w:val="clear" w:color="auto" w:fill="FFFFFF"/>
            <w:tcMar>
              <w:top w:w="105" w:type="dxa"/>
              <w:left w:w="105" w:type="dxa"/>
              <w:bottom w:w="105" w:type="dxa"/>
              <w:right w:w="105" w:type="dxa"/>
            </w:tcMar>
            <w:hideMark/>
          </w:tcPr>
          <w:p w14:paraId="5407E472"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2.1 ± 0.2</w:t>
            </w:r>
          </w:p>
        </w:tc>
        <w:tc>
          <w:tcPr>
            <w:tcW w:w="0" w:type="auto"/>
            <w:shd w:val="clear" w:color="auto" w:fill="FFFFFF"/>
            <w:tcMar>
              <w:top w:w="105" w:type="dxa"/>
              <w:left w:w="105" w:type="dxa"/>
              <w:bottom w:w="105" w:type="dxa"/>
              <w:right w:w="105" w:type="dxa"/>
            </w:tcMar>
            <w:hideMark/>
          </w:tcPr>
          <w:p w14:paraId="4DD3CF18"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1.7 ± 0.2</w:t>
            </w:r>
          </w:p>
        </w:tc>
        <w:tc>
          <w:tcPr>
            <w:tcW w:w="0" w:type="auto"/>
            <w:shd w:val="clear" w:color="auto" w:fill="FFFFFF"/>
            <w:tcMar>
              <w:top w:w="105" w:type="dxa"/>
              <w:left w:w="105" w:type="dxa"/>
              <w:bottom w:w="105" w:type="dxa"/>
              <w:right w:w="105" w:type="dxa"/>
            </w:tcMar>
            <w:hideMark/>
          </w:tcPr>
          <w:p w14:paraId="51BCA03D"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2.5 ± 0.2</w:t>
            </w:r>
          </w:p>
        </w:tc>
        <w:tc>
          <w:tcPr>
            <w:tcW w:w="0" w:type="auto"/>
            <w:shd w:val="clear" w:color="auto" w:fill="FFFFFF"/>
            <w:tcMar>
              <w:top w:w="105" w:type="dxa"/>
              <w:left w:w="105" w:type="dxa"/>
              <w:bottom w:w="105" w:type="dxa"/>
              <w:right w:w="105" w:type="dxa"/>
            </w:tcMar>
            <w:hideMark/>
          </w:tcPr>
          <w:p w14:paraId="4C5C19CE"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2.5 ± 0.3</w:t>
            </w:r>
          </w:p>
        </w:tc>
      </w:tr>
      <w:tr w:rsidR="009D0AE0" w:rsidRPr="009D0AE0" w14:paraId="46F75DBF" w14:textId="77777777" w:rsidTr="009D0AE0">
        <w:trPr>
          <w:tblCellSpacing w:w="15" w:type="dxa"/>
        </w:trPr>
        <w:tc>
          <w:tcPr>
            <w:tcW w:w="0" w:type="auto"/>
            <w:shd w:val="clear" w:color="auto" w:fill="F7F7F7"/>
            <w:tcMar>
              <w:top w:w="105" w:type="dxa"/>
              <w:left w:w="105" w:type="dxa"/>
              <w:bottom w:w="105" w:type="dxa"/>
              <w:right w:w="105" w:type="dxa"/>
            </w:tcMar>
            <w:hideMark/>
          </w:tcPr>
          <w:p w14:paraId="0EE6F100"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(&lt;1.7 mmol / L)</w:t>
            </w:r>
          </w:p>
        </w:tc>
        <w:tc>
          <w:tcPr>
            <w:tcW w:w="0" w:type="auto"/>
            <w:shd w:val="clear" w:color="auto" w:fill="F7F7F7"/>
            <w:tcMar>
              <w:top w:w="105" w:type="dxa"/>
              <w:left w:w="105" w:type="dxa"/>
              <w:bottom w:w="105" w:type="dxa"/>
              <w:right w:w="105" w:type="dxa"/>
            </w:tcMar>
            <w:hideMark/>
          </w:tcPr>
          <w:p w14:paraId="4CB8463F"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Después</w:t>
            </w:r>
          </w:p>
        </w:tc>
        <w:tc>
          <w:tcPr>
            <w:tcW w:w="0" w:type="auto"/>
            <w:shd w:val="clear" w:color="auto" w:fill="F7F7F7"/>
            <w:tcMar>
              <w:top w:w="105" w:type="dxa"/>
              <w:left w:w="105" w:type="dxa"/>
              <w:bottom w:w="105" w:type="dxa"/>
              <w:right w:w="105" w:type="dxa"/>
            </w:tcMar>
            <w:hideMark/>
          </w:tcPr>
          <w:p w14:paraId="546BB008"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1.7 ± 0.2 </w:t>
            </w:r>
            <w:hyperlink r:id="rId68" w:anchor="title-footnote-tblfn3" w:history="1">
              <w:r w:rsidRPr="009D0AE0">
                <w:rPr>
                  <w:rFonts w:ascii="Tahoma" w:eastAsia="Times New Roman" w:hAnsi="Tahoma" w:cs="Tahoma"/>
                  <w:color w:val="336699"/>
                  <w:sz w:val="20"/>
                  <w:szCs w:val="20"/>
                  <w:u w:val="single"/>
                  <w:vertAlign w:val="superscript"/>
                  <w:lang w:val="es-ES" w:eastAsia="es-ES"/>
                </w:rPr>
                <w:t>⁎</w:t>
              </w:r>
            </w:hyperlink>
          </w:p>
        </w:tc>
        <w:tc>
          <w:tcPr>
            <w:tcW w:w="0" w:type="auto"/>
            <w:shd w:val="clear" w:color="auto" w:fill="F7F7F7"/>
            <w:tcMar>
              <w:top w:w="105" w:type="dxa"/>
              <w:left w:w="105" w:type="dxa"/>
              <w:bottom w:w="105" w:type="dxa"/>
              <w:right w:w="105" w:type="dxa"/>
            </w:tcMar>
            <w:hideMark/>
          </w:tcPr>
          <w:p w14:paraId="424D183E"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1.4 ± 0.1 </w:t>
            </w:r>
            <w:hyperlink r:id="rId69" w:anchor="title-footnote-tblfn3" w:history="1">
              <w:r w:rsidRPr="009D0AE0">
                <w:rPr>
                  <w:rFonts w:ascii="Tahoma" w:eastAsia="Times New Roman" w:hAnsi="Tahoma" w:cs="Tahoma"/>
                  <w:color w:val="336699"/>
                  <w:sz w:val="20"/>
                  <w:szCs w:val="20"/>
                  <w:u w:val="single"/>
                  <w:vertAlign w:val="superscript"/>
                  <w:lang w:val="es-ES" w:eastAsia="es-ES"/>
                </w:rPr>
                <w:t>⁎</w:t>
              </w:r>
            </w:hyperlink>
          </w:p>
        </w:tc>
        <w:tc>
          <w:tcPr>
            <w:tcW w:w="0" w:type="auto"/>
            <w:shd w:val="clear" w:color="auto" w:fill="F7F7F7"/>
            <w:tcMar>
              <w:top w:w="105" w:type="dxa"/>
              <w:left w:w="105" w:type="dxa"/>
              <w:bottom w:w="105" w:type="dxa"/>
              <w:right w:w="105" w:type="dxa"/>
            </w:tcMar>
            <w:hideMark/>
          </w:tcPr>
          <w:p w14:paraId="22A7ED99"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2.1 ± 0.2 </w:t>
            </w:r>
            <w:hyperlink r:id="rId70" w:anchor="title-footnote-tblfn3" w:history="1">
              <w:r w:rsidRPr="009D0AE0">
                <w:rPr>
                  <w:rFonts w:ascii="Tahoma" w:eastAsia="Times New Roman" w:hAnsi="Tahoma" w:cs="Tahoma"/>
                  <w:color w:val="336699"/>
                  <w:sz w:val="20"/>
                  <w:szCs w:val="20"/>
                  <w:u w:val="single"/>
                  <w:vertAlign w:val="superscript"/>
                  <w:lang w:val="es-ES" w:eastAsia="es-ES"/>
                </w:rPr>
                <w:t>⁎</w:t>
              </w:r>
            </w:hyperlink>
          </w:p>
        </w:tc>
        <w:tc>
          <w:tcPr>
            <w:tcW w:w="0" w:type="auto"/>
            <w:shd w:val="clear" w:color="auto" w:fill="F7F7F7"/>
            <w:tcMar>
              <w:top w:w="105" w:type="dxa"/>
              <w:left w:w="105" w:type="dxa"/>
              <w:bottom w:w="105" w:type="dxa"/>
              <w:right w:w="105" w:type="dxa"/>
            </w:tcMar>
            <w:hideMark/>
          </w:tcPr>
          <w:p w14:paraId="1F52CFB7"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2.1 ± 0.2 </w:t>
            </w:r>
            <w:hyperlink r:id="rId71" w:anchor="title-footnote-tblfn3" w:history="1">
              <w:r w:rsidRPr="009D0AE0">
                <w:rPr>
                  <w:rFonts w:ascii="Tahoma" w:eastAsia="Times New Roman" w:hAnsi="Tahoma" w:cs="Tahoma"/>
                  <w:color w:val="336699"/>
                  <w:sz w:val="20"/>
                  <w:szCs w:val="20"/>
                  <w:u w:val="single"/>
                  <w:vertAlign w:val="superscript"/>
                  <w:lang w:val="es-ES" w:eastAsia="es-ES"/>
                </w:rPr>
                <w:t>⁎</w:t>
              </w:r>
            </w:hyperlink>
          </w:p>
        </w:tc>
      </w:tr>
      <w:tr w:rsidR="009D0AE0" w:rsidRPr="009D0AE0" w14:paraId="6F24DB6E" w14:textId="77777777" w:rsidTr="009D0AE0">
        <w:trPr>
          <w:tblCellSpacing w:w="15" w:type="dxa"/>
        </w:trPr>
        <w:tc>
          <w:tcPr>
            <w:tcW w:w="0" w:type="auto"/>
            <w:shd w:val="clear" w:color="auto" w:fill="FFFFFF"/>
            <w:tcMar>
              <w:top w:w="105" w:type="dxa"/>
              <w:left w:w="105" w:type="dxa"/>
              <w:bottom w:w="105" w:type="dxa"/>
              <w:right w:w="105" w:type="dxa"/>
            </w:tcMar>
            <w:hideMark/>
          </w:tcPr>
          <w:p w14:paraId="1AD4400E"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ALT</w:t>
            </w:r>
          </w:p>
        </w:tc>
        <w:tc>
          <w:tcPr>
            <w:tcW w:w="0" w:type="auto"/>
            <w:shd w:val="clear" w:color="auto" w:fill="FFFFFF"/>
            <w:tcMar>
              <w:top w:w="105" w:type="dxa"/>
              <w:left w:w="105" w:type="dxa"/>
              <w:bottom w:w="105" w:type="dxa"/>
              <w:right w:w="105" w:type="dxa"/>
            </w:tcMar>
            <w:hideMark/>
          </w:tcPr>
          <w:p w14:paraId="5BAA207E"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antes de</w:t>
            </w:r>
          </w:p>
        </w:tc>
        <w:tc>
          <w:tcPr>
            <w:tcW w:w="0" w:type="auto"/>
            <w:shd w:val="clear" w:color="auto" w:fill="FFFFFF"/>
            <w:tcMar>
              <w:top w:w="105" w:type="dxa"/>
              <w:left w:w="105" w:type="dxa"/>
              <w:bottom w:w="105" w:type="dxa"/>
              <w:right w:w="105" w:type="dxa"/>
            </w:tcMar>
            <w:hideMark/>
          </w:tcPr>
          <w:p w14:paraId="28AD5F96"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70,8 ± 10,1</w:t>
            </w:r>
          </w:p>
        </w:tc>
        <w:tc>
          <w:tcPr>
            <w:tcW w:w="0" w:type="auto"/>
            <w:shd w:val="clear" w:color="auto" w:fill="FFFFFF"/>
            <w:tcMar>
              <w:top w:w="105" w:type="dxa"/>
              <w:left w:w="105" w:type="dxa"/>
              <w:bottom w:w="105" w:type="dxa"/>
              <w:right w:w="105" w:type="dxa"/>
            </w:tcMar>
            <w:hideMark/>
          </w:tcPr>
          <w:p w14:paraId="1E38C0DB"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92,6 ± 12,1</w:t>
            </w:r>
          </w:p>
        </w:tc>
        <w:tc>
          <w:tcPr>
            <w:tcW w:w="0" w:type="auto"/>
            <w:shd w:val="clear" w:color="auto" w:fill="FFFFFF"/>
            <w:tcMar>
              <w:top w:w="105" w:type="dxa"/>
              <w:left w:w="105" w:type="dxa"/>
              <w:bottom w:w="105" w:type="dxa"/>
              <w:right w:w="105" w:type="dxa"/>
            </w:tcMar>
            <w:hideMark/>
          </w:tcPr>
          <w:p w14:paraId="024B505A"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99,2 ± 8,7</w:t>
            </w:r>
          </w:p>
        </w:tc>
        <w:tc>
          <w:tcPr>
            <w:tcW w:w="0" w:type="auto"/>
            <w:shd w:val="clear" w:color="auto" w:fill="FFFFFF"/>
            <w:tcMar>
              <w:top w:w="105" w:type="dxa"/>
              <w:left w:w="105" w:type="dxa"/>
              <w:bottom w:w="105" w:type="dxa"/>
              <w:right w:w="105" w:type="dxa"/>
            </w:tcMar>
            <w:hideMark/>
          </w:tcPr>
          <w:p w14:paraId="1E56486A"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96,3 ± 11,2</w:t>
            </w:r>
          </w:p>
        </w:tc>
      </w:tr>
      <w:tr w:rsidR="009D0AE0" w:rsidRPr="009D0AE0" w14:paraId="7181A9B3" w14:textId="77777777" w:rsidTr="009D0AE0">
        <w:trPr>
          <w:tblCellSpacing w:w="15" w:type="dxa"/>
        </w:trPr>
        <w:tc>
          <w:tcPr>
            <w:tcW w:w="0" w:type="auto"/>
            <w:shd w:val="clear" w:color="auto" w:fill="FFFFF3"/>
            <w:tcMar>
              <w:top w:w="105" w:type="dxa"/>
              <w:left w:w="105" w:type="dxa"/>
              <w:bottom w:w="105" w:type="dxa"/>
              <w:right w:w="105" w:type="dxa"/>
            </w:tcMar>
            <w:hideMark/>
          </w:tcPr>
          <w:p w14:paraId="74030265"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(&lt;40 U / L)</w:t>
            </w:r>
          </w:p>
        </w:tc>
        <w:tc>
          <w:tcPr>
            <w:tcW w:w="0" w:type="auto"/>
            <w:shd w:val="clear" w:color="auto" w:fill="FFFFF3"/>
            <w:tcMar>
              <w:top w:w="105" w:type="dxa"/>
              <w:left w:w="105" w:type="dxa"/>
              <w:bottom w:w="105" w:type="dxa"/>
              <w:right w:w="105" w:type="dxa"/>
            </w:tcMar>
            <w:hideMark/>
          </w:tcPr>
          <w:p w14:paraId="327FCB36"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Después</w:t>
            </w:r>
          </w:p>
        </w:tc>
        <w:tc>
          <w:tcPr>
            <w:tcW w:w="0" w:type="auto"/>
            <w:shd w:val="clear" w:color="auto" w:fill="FFFFF3"/>
            <w:tcMar>
              <w:top w:w="105" w:type="dxa"/>
              <w:left w:w="105" w:type="dxa"/>
              <w:bottom w:w="105" w:type="dxa"/>
              <w:right w:w="105" w:type="dxa"/>
            </w:tcMar>
            <w:hideMark/>
          </w:tcPr>
          <w:p w14:paraId="6BA3AD75"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40,3 ± 5,4 </w:t>
            </w:r>
            <w:hyperlink r:id="rId72" w:anchor="title-footnote-tblfn4" w:history="1">
              <w:r w:rsidRPr="009D0AE0">
                <w:rPr>
                  <w:rFonts w:ascii="Helvetica" w:eastAsia="Times New Roman" w:hAnsi="Helvetica" w:cs="Helvetica"/>
                  <w:color w:val="336699"/>
                  <w:sz w:val="20"/>
                  <w:szCs w:val="20"/>
                  <w:u w:val="single"/>
                  <w:vertAlign w:val="superscript"/>
                  <w:lang w:val="es-ES" w:eastAsia="es-ES"/>
                </w:rPr>
                <w:t>†</w:t>
              </w:r>
            </w:hyperlink>
            <w:r w:rsidRPr="009D0AE0">
              <w:rPr>
                <w:rFonts w:ascii="Helvetica" w:eastAsia="Times New Roman" w:hAnsi="Helvetica" w:cs="Helvetica"/>
                <w:color w:val="333333"/>
                <w:sz w:val="17"/>
                <w:szCs w:val="17"/>
                <w:lang w:val="es-ES" w:eastAsia="es-ES"/>
              </w:rPr>
              <w:t> †</w:t>
            </w:r>
          </w:p>
        </w:tc>
        <w:tc>
          <w:tcPr>
            <w:tcW w:w="0" w:type="auto"/>
            <w:shd w:val="clear" w:color="auto" w:fill="FFFFF3"/>
            <w:tcMar>
              <w:top w:w="105" w:type="dxa"/>
              <w:left w:w="105" w:type="dxa"/>
              <w:bottom w:w="105" w:type="dxa"/>
              <w:right w:w="105" w:type="dxa"/>
            </w:tcMar>
            <w:hideMark/>
          </w:tcPr>
          <w:p w14:paraId="01424F5A"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46 ± 5.3 </w:t>
            </w:r>
            <w:hyperlink r:id="rId73" w:anchor="title-footnote-tblfn4" w:history="1">
              <w:r w:rsidRPr="009D0AE0">
                <w:rPr>
                  <w:rFonts w:ascii="Helvetica" w:eastAsia="Times New Roman" w:hAnsi="Helvetica" w:cs="Helvetica"/>
                  <w:color w:val="336699"/>
                  <w:sz w:val="20"/>
                  <w:szCs w:val="20"/>
                  <w:u w:val="single"/>
                  <w:vertAlign w:val="superscript"/>
                  <w:lang w:val="es-ES" w:eastAsia="es-ES"/>
                </w:rPr>
                <w:t>†</w:t>
              </w:r>
            </w:hyperlink>
            <w:r w:rsidRPr="009D0AE0">
              <w:rPr>
                <w:rFonts w:ascii="Helvetica" w:eastAsia="Times New Roman" w:hAnsi="Helvetica" w:cs="Helvetica"/>
                <w:color w:val="333333"/>
                <w:sz w:val="17"/>
                <w:szCs w:val="17"/>
                <w:lang w:val="es-ES" w:eastAsia="es-ES"/>
              </w:rPr>
              <w:t> †</w:t>
            </w:r>
          </w:p>
        </w:tc>
        <w:tc>
          <w:tcPr>
            <w:tcW w:w="0" w:type="auto"/>
            <w:shd w:val="clear" w:color="auto" w:fill="FFFFF3"/>
            <w:tcMar>
              <w:top w:w="105" w:type="dxa"/>
              <w:left w:w="105" w:type="dxa"/>
              <w:bottom w:w="105" w:type="dxa"/>
              <w:right w:w="105" w:type="dxa"/>
            </w:tcMar>
            <w:hideMark/>
          </w:tcPr>
          <w:p w14:paraId="67EAEE42"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70.8 ± 8.2 </w:t>
            </w:r>
            <w:hyperlink r:id="rId74" w:anchor="title-footnote-tblfn3" w:history="1">
              <w:r w:rsidRPr="009D0AE0">
                <w:rPr>
                  <w:rFonts w:ascii="Tahoma" w:eastAsia="Times New Roman" w:hAnsi="Tahoma" w:cs="Tahoma"/>
                  <w:color w:val="336699"/>
                  <w:sz w:val="20"/>
                  <w:szCs w:val="20"/>
                  <w:u w:val="single"/>
                  <w:vertAlign w:val="superscript"/>
                  <w:lang w:val="es-ES" w:eastAsia="es-ES"/>
                </w:rPr>
                <w:t>⁎</w:t>
              </w:r>
            </w:hyperlink>
          </w:p>
        </w:tc>
        <w:tc>
          <w:tcPr>
            <w:tcW w:w="0" w:type="auto"/>
            <w:shd w:val="clear" w:color="auto" w:fill="FFFFF3"/>
            <w:tcMar>
              <w:top w:w="105" w:type="dxa"/>
              <w:left w:w="105" w:type="dxa"/>
              <w:bottom w:w="105" w:type="dxa"/>
              <w:right w:w="105" w:type="dxa"/>
            </w:tcMar>
            <w:hideMark/>
          </w:tcPr>
          <w:p w14:paraId="3AC34D85"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63,3 ± 7,6 </w:t>
            </w:r>
            <w:hyperlink r:id="rId75" w:anchor="title-footnote-tblfn3" w:history="1">
              <w:r w:rsidRPr="009D0AE0">
                <w:rPr>
                  <w:rFonts w:ascii="Tahoma" w:eastAsia="Times New Roman" w:hAnsi="Tahoma" w:cs="Tahoma"/>
                  <w:color w:val="336699"/>
                  <w:sz w:val="20"/>
                  <w:szCs w:val="20"/>
                  <w:u w:val="single"/>
                  <w:vertAlign w:val="superscript"/>
                  <w:lang w:val="es-ES" w:eastAsia="es-ES"/>
                </w:rPr>
                <w:t>⁎</w:t>
              </w:r>
            </w:hyperlink>
          </w:p>
        </w:tc>
      </w:tr>
      <w:tr w:rsidR="009D0AE0" w:rsidRPr="009D0AE0" w14:paraId="20B29D8E" w14:textId="77777777" w:rsidTr="009D0AE0">
        <w:trPr>
          <w:tblCellSpacing w:w="15" w:type="dxa"/>
        </w:trPr>
        <w:tc>
          <w:tcPr>
            <w:tcW w:w="0" w:type="auto"/>
            <w:shd w:val="clear" w:color="auto" w:fill="FFFFFF"/>
            <w:tcMar>
              <w:top w:w="105" w:type="dxa"/>
              <w:left w:w="105" w:type="dxa"/>
              <w:bottom w:w="105" w:type="dxa"/>
              <w:right w:w="105" w:type="dxa"/>
            </w:tcMar>
            <w:hideMark/>
          </w:tcPr>
          <w:p w14:paraId="165835AF"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AST</w:t>
            </w:r>
          </w:p>
        </w:tc>
        <w:tc>
          <w:tcPr>
            <w:tcW w:w="0" w:type="auto"/>
            <w:shd w:val="clear" w:color="auto" w:fill="FFFFFF"/>
            <w:tcMar>
              <w:top w:w="105" w:type="dxa"/>
              <w:left w:w="105" w:type="dxa"/>
              <w:bottom w:w="105" w:type="dxa"/>
              <w:right w:w="105" w:type="dxa"/>
            </w:tcMar>
            <w:hideMark/>
          </w:tcPr>
          <w:p w14:paraId="51104594"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antes de</w:t>
            </w:r>
          </w:p>
        </w:tc>
        <w:tc>
          <w:tcPr>
            <w:tcW w:w="0" w:type="auto"/>
            <w:shd w:val="clear" w:color="auto" w:fill="FFFFFF"/>
            <w:tcMar>
              <w:top w:w="105" w:type="dxa"/>
              <w:left w:w="105" w:type="dxa"/>
              <w:bottom w:w="105" w:type="dxa"/>
              <w:right w:w="105" w:type="dxa"/>
            </w:tcMar>
            <w:hideMark/>
          </w:tcPr>
          <w:p w14:paraId="784A11C8"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57.8 ± 6.8</w:t>
            </w:r>
          </w:p>
        </w:tc>
        <w:tc>
          <w:tcPr>
            <w:tcW w:w="0" w:type="auto"/>
            <w:shd w:val="clear" w:color="auto" w:fill="FFFFFF"/>
            <w:tcMar>
              <w:top w:w="105" w:type="dxa"/>
              <w:left w:w="105" w:type="dxa"/>
              <w:bottom w:w="105" w:type="dxa"/>
              <w:right w:w="105" w:type="dxa"/>
            </w:tcMar>
            <w:hideMark/>
          </w:tcPr>
          <w:p w14:paraId="4C992FC0"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92 ± 10.3</w:t>
            </w:r>
          </w:p>
        </w:tc>
        <w:tc>
          <w:tcPr>
            <w:tcW w:w="0" w:type="auto"/>
            <w:shd w:val="clear" w:color="auto" w:fill="FFFFFF"/>
            <w:tcMar>
              <w:top w:w="105" w:type="dxa"/>
              <w:left w:w="105" w:type="dxa"/>
              <w:bottom w:w="105" w:type="dxa"/>
              <w:right w:w="105" w:type="dxa"/>
            </w:tcMar>
            <w:hideMark/>
          </w:tcPr>
          <w:p w14:paraId="2BC9A999"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89 ± 9.2</w:t>
            </w:r>
          </w:p>
        </w:tc>
        <w:tc>
          <w:tcPr>
            <w:tcW w:w="0" w:type="auto"/>
            <w:shd w:val="clear" w:color="auto" w:fill="FFFFFF"/>
            <w:tcMar>
              <w:top w:w="105" w:type="dxa"/>
              <w:left w:w="105" w:type="dxa"/>
              <w:bottom w:w="105" w:type="dxa"/>
              <w:right w:w="105" w:type="dxa"/>
            </w:tcMar>
            <w:hideMark/>
          </w:tcPr>
          <w:p w14:paraId="727C2C0B"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75,2 ± 8,9</w:t>
            </w:r>
          </w:p>
        </w:tc>
      </w:tr>
      <w:tr w:rsidR="009D0AE0" w:rsidRPr="009D0AE0" w14:paraId="3A6E1783" w14:textId="77777777" w:rsidTr="009D0AE0">
        <w:trPr>
          <w:tblCellSpacing w:w="15" w:type="dxa"/>
        </w:trPr>
        <w:tc>
          <w:tcPr>
            <w:tcW w:w="0" w:type="auto"/>
            <w:shd w:val="clear" w:color="auto" w:fill="F7F7F7"/>
            <w:tcMar>
              <w:top w:w="105" w:type="dxa"/>
              <w:left w:w="105" w:type="dxa"/>
              <w:bottom w:w="105" w:type="dxa"/>
              <w:right w:w="105" w:type="dxa"/>
            </w:tcMar>
            <w:hideMark/>
          </w:tcPr>
          <w:p w14:paraId="7F53184A"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(&lt;40 U / L)</w:t>
            </w:r>
          </w:p>
        </w:tc>
        <w:tc>
          <w:tcPr>
            <w:tcW w:w="0" w:type="auto"/>
            <w:shd w:val="clear" w:color="auto" w:fill="F7F7F7"/>
            <w:tcMar>
              <w:top w:w="105" w:type="dxa"/>
              <w:left w:w="105" w:type="dxa"/>
              <w:bottom w:w="105" w:type="dxa"/>
              <w:right w:w="105" w:type="dxa"/>
            </w:tcMar>
            <w:hideMark/>
          </w:tcPr>
          <w:p w14:paraId="31D7C891"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Después</w:t>
            </w:r>
          </w:p>
        </w:tc>
        <w:tc>
          <w:tcPr>
            <w:tcW w:w="0" w:type="auto"/>
            <w:shd w:val="clear" w:color="auto" w:fill="F7F7F7"/>
            <w:tcMar>
              <w:top w:w="105" w:type="dxa"/>
              <w:left w:w="105" w:type="dxa"/>
              <w:bottom w:w="105" w:type="dxa"/>
              <w:right w:w="105" w:type="dxa"/>
            </w:tcMar>
            <w:hideMark/>
          </w:tcPr>
          <w:p w14:paraId="3E363BEA"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35,3 ± 4,2 </w:t>
            </w:r>
            <w:hyperlink r:id="rId76" w:anchor="title-footnote-tblfn4" w:history="1">
              <w:r w:rsidRPr="009D0AE0">
                <w:rPr>
                  <w:rFonts w:ascii="Helvetica" w:eastAsia="Times New Roman" w:hAnsi="Helvetica" w:cs="Helvetica"/>
                  <w:color w:val="336699"/>
                  <w:sz w:val="20"/>
                  <w:szCs w:val="20"/>
                  <w:u w:val="single"/>
                  <w:vertAlign w:val="superscript"/>
                  <w:lang w:val="es-ES" w:eastAsia="es-ES"/>
                </w:rPr>
                <w:t>†</w:t>
              </w:r>
            </w:hyperlink>
            <w:r w:rsidRPr="009D0AE0">
              <w:rPr>
                <w:rFonts w:ascii="Helvetica" w:eastAsia="Times New Roman" w:hAnsi="Helvetica" w:cs="Helvetica"/>
                <w:color w:val="333333"/>
                <w:sz w:val="17"/>
                <w:szCs w:val="17"/>
                <w:lang w:val="es-ES" w:eastAsia="es-ES"/>
              </w:rPr>
              <w:t> †</w:t>
            </w:r>
          </w:p>
        </w:tc>
        <w:tc>
          <w:tcPr>
            <w:tcW w:w="0" w:type="auto"/>
            <w:shd w:val="clear" w:color="auto" w:fill="F7F7F7"/>
            <w:tcMar>
              <w:top w:w="105" w:type="dxa"/>
              <w:left w:w="105" w:type="dxa"/>
              <w:bottom w:w="105" w:type="dxa"/>
              <w:right w:w="105" w:type="dxa"/>
            </w:tcMar>
            <w:hideMark/>
          </w:tcPr>
          <w:p w14:paraId="41A566A9"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41,1 ± 5,4 </w:t>
            </w:r>
            <w:hyperlink r:id="rId77" w:anchor="title-footnote-tblfn4" w:history="1">
              <w:r w:rsidRPr="009D0AE0">
                <w:rPr>
                  <w:rFonts w:ascii="Helvetica" w:eastAsia="Times New Roman" w:hAnsi="Helvetica" w:cs="Helvetica"/>
                  <w:color w:val="336699"/>
                  <w:sz w:val="20"/>
                  <w:szCs w:val="20"/>
                  <w:u w:val="single"/>
                  <w:vertAlign w:val="superscript"/>
                  <w:lang w:val="es-ES" w:eastAsia="es-ES"/>
                </w:rPr>
                <w:t>†</w:t>
              </w:r>
            </w:hyperlink>
            <w:r w:rsidRPr="009D0AE0">
              <w:rPr>
                <w:rFonts w:ascii="Helvetica" w:eastAsia="Times New Roman" w:hAnsi="Helvetica" w:cs="Helvetica"/>
                <w:color w:val="333333"/>
                <w:sz w:val="17"/>
                <w:szCs w:val="17"/>
                <w:lang w:val="es-ES" w:eastAsia="es-ES"/>
              </w:rPr>
              <w:t> †</w:t>
            </w:r>
          </w:p>
        </w:tc>
        <w:tc>
          <w:tcPr>
            <w:tcW w:w="0" w:type="auto"/>
            <w:shd w:val="clear" w:color="auto" w:fill="F7F7F7"/>
            <w:tcMar>
              <w:top w:w="105" w:type="dxa"/>
              <w:left w:w="105" w:type="dxa"/>
              <w:bottom w:w="105" w:type="dxa"/>
              <w:right w:w="105" w:type="dxa"/>
            </w:tcMar>
            <w:hideMark/>
          </w:tcPr>
          <w:p w14:paraId="01603565"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66,1 ± 7,4 </w:t>
            </w:r>
            <w:hyperlink r:id="rId78" w:anchor="title-footnote-tblfn3" w:history="1">
              <w:r w:rsidRPr="009D0AE0">
                <w:rPr>
                  <w:rFonts w:ascii="Tahoma" w:eastAsia="Times New Roman" w:hAnsi="Tahoma" w:cs="Tahoma"/>
                  <w:color w:val="336699"/>
                  <w:sz w:val="20"/>
                  <w:szCs w:val="20"/>
                  <w:u w:val="single"/>
                  <w:vertAlign w:val="superscript"/>
                  <w:lang w:val="es-ES" w:eastAsia="es-ES"/>
                </w:rPr>
                <w:t>⁎</w:t>
              </w:r>
            </w:hyperlink>
          </w:p>
        </w:tc>
        <w:tc>
          <w:tcPr>
            <w:tcW w:w="0" w:type="auto"/>
            <w:shd w:val="clear" w:color="auto" w:fill="F7F7F7"/>
            <w:tcMar>
              <w:top w:w="105" w:type="dxa"/>
              <w:left w:w="105" w:type="dxa"/>
              <w:bottom w:w="105" w:type="dxa"/>
              <w:right w:w="105" w:type="dxa"/>
            </w:tcMar>
            <w:hideMark/>
          </w:tcPr>
          <w:p w14:paraId="62ED088E" w14:textId="77777777" w:rsidR="009D0AE0" w:rsidRPr="009D0AE0" w:rsidRDefault="009D0AE0" w:rsidP="007C0944">
            <w:pPr>
              <w:spacing w:after="0" w:line="240" w:lineRule="auto"/>
              <w:jc w:val="both"/>
              <w:rPr>
                <w:rFonts w:ascii="Helvetica" w:eastAsia="Times New Roman" w:hAnsi="Helvetica" w:cs="Helvetica"/>
                <w:color w:val="333333"/>
                <w:sz w:val="17"/>
                <w:szCs w:val="17"/>
                <w:lang w:val="es-ES" w:eastAsia="es-ES"/>
              </w:rPr>
            </w:pPr>
            <w:r w:rsidRPr="009D0AE0">
              <w:rPr>
                <w:rFonts w:ascii="Helvetica" w:eastAsia="Times New Roman" w:hAnsi="Helvetica" w:cs="Helvetica"/>
                <w:color w:val="333333"/>
                <w:sz w:val="17"/>
                <w:szCs w:val="17"/>
                <w:lang w:val="es-ES" w:eastAsia="es-ES"/>
              </w:rPr>
              <w:t>57 ± 6.7 </w:t>
            </w:r>
            <w:hyperlink r:id="rId79" w:anchor="title-footnote-tblfn3" w:history="1">
              <w:r w:rsidRPr="009D0AE0">
                <w:rPr>
                  <w:rFonts w:ascii="Tahoma" w:eastAsia="Times New Roman" w:hAnsi="Tahoma" w:cs="Tahoma"/>
                  <w:color w:val="336699"/>
                  <w:sz w:val="20"/>
                  <w:szCs w:val="20"/>
                  <w:u w:val="single"/>
                  <w:vertAlign w:val="superscript"/>
                  <w:lang w:val="es-ES" w:eastAsia="es-ES"/>
                </w:rPr>
                <w:t>⁎</w:t>
              </w:r>
            </w:hyperlink>
          </w:p>
        </w:tc>
      </w:tr>
    </w:tbl>
    <w:p w14:paraId="2C88DF6C" w14:textId="77777777" w:rsidR="009D0AE0" w:rsidRPr="009D0AE0" w:rsidRDefault="009D0AE0" w:rsidP="007C0944">
      <w:pPr>
        <w:spacing w:after="288" w:line="360" w:lineRule="atLeast"/>
        <w:jc w:val="both"/>
        <w:rPr>
          <w:rFonts w:ascii="Helvetica" w:eastAsia="Times New Roman" w:hAnsi="Helvetica" w:cs="Helvetica"/>
          <w:color w:val="333333"/>
          <w:sz w:val="18"/>
          <w:szCs w:val="18"/>
          <w:lang w:val="es-ES" w:eastAsia="es-ES"/>
        </w:rPr>
      </w:pPr>
      <w:r w:rsidRPr="009D0AE0">
        <w:rPr>
          <w:rFonts w:ascii="Helvetica" w:eastAsia="Times New Roman" w:hAnsi="Helvetica" w:cs="Helvetica"/>
          <w:color w:val="333333"/>
          <w:sz w:val="18"/>
          <w:szCs w:val="18"/>
          <w:lang w:val="es-ES" w:eastAsia="es-ES"/>
        </w:rPr>
        <w:t>Los valores son medias ± SEM. AST indica aspartato aminotransferasa.</w:t>
      </w:r>
    </w:p>
    <w:p w14:paraId="19EFFC1E" w14:textId="77777777" w:rsidR="009D0AE0" w:rsidRPr="009D0AE0" w:rsidRDefault="009D0AE0" w:rsidP="007C0944">
      <w:pPr>
        <w:spacing w:after="60" w:line="240" w:lineRule="auto"/>
        <w:jc w:val="both"/>
        <w:rPr>
          <w:rFonts w:ascii="Helvetica" w:eastAsia="Times New Roman" w:hAnsi="Helvetica" w:cs="Helvetica"/>
          <w:color w:val="333333"/>
          <w:sz w:val="18"/>
          <w:szCs w:val="18"/>
          <w:lang w:val="es-ES" w:eastAsia="es-ES"/>
        </w:rPr>
      </w:pPr>
      <w:r w:rsidRPr="009D0AE0">
        <w:rPr>
          <w:rFonts w:ascii="Helvetica" w:eastAsia="Times New Roman" w:hAnsi="Helvetica" w:cs="Helvetica"/>
          <w:noProof/>
          <w:color w:val="336699"/>
          <w:sz w:val="16"/>
          <w:szCs w:val="16"/>
          <w:lang w:val="es-ES" w:eastAsia="es-ES"/>
        </w:rPr>
        <w:drawing>
          <wp:inline distT="0" distB="0" distL="0" distR="0" wp14:anchorId="79D10D49" wp14:editId="63F7A7D9">
            <wp:extent cx="85725" cy="200025"/>
            <wp:effectExtent l="0" t="0" r="9525" b="9525"/>
            <wp:docPr id="12" name="Imagen 12" descr="asterisco baj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sterisco bajo">
                      <a:hlinkClick r:id="rId80"/>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r w:rsidRPr="009D0AE0">
        <w:rPr>
          <w:rFonts w:ascii="Helvetica" w:eastAsia="Times New Roman" w:hAnsi="Helvetica" w:cs="Helvetica"/>
          <w:i/>
          <w:iCs/>
          <w:color w:val="333333"/>
          <w:sz w:val="18"/>
          <w:szCs w:val="18"/>
          <w:lang w:val="es-ES" w:eastAsia="es-ES"/>
        </w:rPr>
        <w:t>P</w:t>
      </w:r>
      <w:r w:rsidRPr="009D0AE0">
        <w:rPr>
          <w:rFonts w:ascii="Helvetica" w:eastAsia="Times New Roman" w:hAnsi="Helvetica" w:cs="Helvetica"/>
          <w:color w:val="333333"/>
          <w:sz w:val="18"/>
          <w:szCs w:val="18"/>
          <w:lang w:val="es-ES" w:eastAsia="es-ES"/>
        </w:rPr>
        <w:t> &lt;.01 en comparación con eso antes del tratamiento mediante la prueba </w:t>
      </w:r>
      <w:r w:rsidRPr="009D0AE0">
        <w:rPr>
          <w:rFonts w:ascii="Helvetica" w:eastAsia="Times New Roman" w:hAnsi="Helvetica" w:cs="Helvetica"/>
          <w:i/>
          <w:iCs/>
          <w:color w:val="333333"/>
          <w:sz w:val="18"/>
          <w:szCs w:val="18"/>
          <w:lang w:val="es-ES" w:eastAsia="es-ES"/>
        </w:rPr>
        <w:t>t</w:t>
      </w:r>
      <w:r w:rsidRPr="009D0AE0">
        <w:rPr>
          <w:rFonts w:ascii="Helvetica" w:eastAsia="Times New Roman" w:hAnsi="Helvetica" w:cs="Helvetica"/>
          <w:color w:val="333333"/>
          <w:sz w:val="18"/>
          <w:szCs w:val="18"/>
          <w:lang w:val="es-ES" w:eastAsia="es-ES"/>
        </w:rPr>
        <w:t> </w:t>
      </w:r>
      <w:proofErr w:type="gramStart"/>
      <w:r w:rsidRPr="009D0AE0">
        <w:rPr>
          <w:rFonts w:ascii="Helvetica" w:eastAsia="Times New Roman" w:hAnsi="Helvetica" w:cs="Helvetica"/>
          <w:color w:val="333333"/>
          <w:sz w:val="18"/>
          <w:szCs w:val="18"/>
          <w:lang w:val="es-ES" w:eastAsia="es-ES"/>
        </w:rPr>
        <w:t>pareada .</w:t>
      </w:r>
      <w:proofErr w:type="gramEnd"/>
    </w:p>
    <w:p w14:paraId="26A7C21F" w14:textId="77777777" w:rsidR="009D0AE0" w:rsidRPr="009D0AE0" w:rsidRDefault="007C0944" w:rsidP="007C0944">
      <w:pPr>
        <w:spacing w:after="60" w:line="240" w:lineRule="auto"/>
        <w:jc w:val="both"/>
        <w:rPr>
          <w:rFonts w:ascii="Helvetica" w:eastAsia="Times New Roman" w:hAnsi="Helvetica" w:cs="Helvetica"/>
          <w:color w:val="333333"/>
          <w:sz w:val="18"/>
          <w:szCs w:val="18"/>
          <w:lang w:val="es-ES" w:eastAsia="es-ES"/>
        </w:rPr>
      </w:pPr>
      <w:hyperlink r:id="rId81" w:anchor="back-tblfn4" w:history="1">
        <w:r w:rsidR="009D0AE0" w:rsidRPr="009D0AE0">
          <w:rPr>
            <w:rFonts w:ascii="Helvetica" w:eastAsia="Times New Roman" w:hAnsi="Helvetica" w:cs="Helvetica"/>
            <w:color w:val="336699"/>
            <w:sz w:val="16"/>
            <w:szCs w:val="16"/>
            <w:u w:val="single"/>
            <w:lang w:val="es-ES" w:eastAsia="es-ES"/>
          </w:rPr>
          <w:t>† </w:t>
        </w:r>
      </w:hyperlink>
      <w:r w:rsidR="009D0AE0" w:rsidRPr="009D0AE0">
        <w:rPr>
          <w:rFonts w:ascii="Helvetica" w:eastAsia="Times New Roman" w:hAnsi="Helvetica" w:cs="Helvetica"/>
          <w:i/>
          <w:iCs/>
          <w:color w:val="333333"/>
          <w:sz w:val="18"/>
          <w:szCs w:val="18"/>
          <w:lang w:val="es-ES" w:eastAsia="es-ES"/>
        </w:rPr>
        <w:t>P</w:t>
      </w:r>
      <w:r w:rsidR="009D0AE0" w:rsidRPr="009D0AE0">
        <w:rPr>
          <w:rFonts w:ascii="Helvetica" w:eastAsia="Times New Roman" w:hAnsi="Helvetica" w:cs="Helvetica"/>
          <w:color w:val="333333"/>
          <w:sz w:val="18"/>
          <w:szCs w:val="18"/>
          <w:lang w:val="es-ES" w:eastAsia="es-ES"/>
        </w:rPr>
        <w:t> &lt;.001 comparado con eso antes del tratamiento mediante prueba </w:t>
      </w:r>
      <w:r w:rsidR="009D0AE0" w:rsidRPr="009D0AE0">
        <w:rPr>
          <w:rFonts w:ascii="Helvetica" w:eastAsia="Times New Roman" w:hAnsi="Helvetica" w:cs="Helvetica"/>
          <w:i/>
          <w:iCs/>
          <w:color w:val="333333"/>
          <w:sz w:val="18"/>
          <w:szCs w:val="18"/>
          <w:lang w:val="es-ES" w:eastAsia="es-ES"/>
        </w:rPr>
        <w:t>t</w:t>
      </w:r>
      <w:r w:rsidR="009D0AE0" w:rsidRPr="009D0AE0">
        <w:rPr>
          <w:rFonts w:ascii="Helvetica" w:eastAsia="Times New Roman" w:hAnsi="Helvetica" w:cs="Helvetica"/>
          <w:color w:val="333333"/>
          <w:sz w:val="18"/>
          <w:szCs w:val="18"/>
          <w:lang w:val="es-ES" w:eastAsia="es-ES"/>
        </w:rPr>
        <w:t> </w:t>
      </w:r>
      <w:proofErr w:type="gramStart"/>
      <w:r w:rsidR="009D0AE0" w:rsidRPr="009D0AE0">
        <w:rPr>
          <w:rFonts w:ascii="Helvetica" w:eastAsia="Times New Roman" w:hAnsi="Helvetica" w:cs="Helvetica"/>
          <w:color w:val="333333"/>
          <w:sz w:val="18"/>
          <w:szCs w:val="18"/>
          <w:lang w:val="es-ES" w:eastAsia="es-ES"/>
        </w:rPr>
        <w:t>pareada .</w:t>
      </w:r>
      <w:proofErr w:type="gramEnd"/>
    </w:p>
    <w:p w14:paraId="0CCEF416" w14:textId="77777777" w:rsidR="009D0AE0" w:rsidRDefault="009D0AE0" w:rsidP="007C0944">
      <w:pPr>
        <w:spacing w:after="288" w:line="360" w:lineRule="atLeast"/>
        <w:jc w:val="both"/>
      </w:pPr>
    </w:p>
    <w:p w14:paraId="7A7694C7" w14:textId="77777777" w:rsidR="009D0AE0" w:rsidRPr="009D0AE0" w:rsidRDefault="009D0AE0" w:rsidP="007C0944">
      <w:pPr>
        <w:shd w:val="clear" w:color="auto" w:fill="FFFFFF"/>
        <w:spacing w:after="45" w:line="375" w:lineRule="atLeast"/>
        <w:jc w:val="both"/>
        <w:outlineLvl w:val="1"/>
        <w:rPr>
          <w:rFonts w:ascii="Georgia" w:eastAsia="Times New Roman" w:hAnsi="Georgia" w:cs="Times New Roman"/>
          <w:color w:val="333333"/>
          <w:sz w:val="36"/>
          <w:szCs w:val="36"/>
          <w:lang w:val="es-ES" w:eastAsia="es-ES"/>
        </w:rPr>
      </w:pPr>
      <w:r w:rsidRPr="009D0AE0">
        <w:rPr>
          <w:rFonts w:ascii="Georgia" w:eastAsia="Times New Roman" w:hAnsi="Georgia" w:cs="Times New Roman"/>
          <w:color w:val="333333"/>
          <w:sz w:val="36"/>
          <w:szCs w:val="36"/>
          <w:lang w:val="es-ES" w:eastAsia="es-ES"/>
        </w:rPr>
        <w:t>Discusión</w:t>
      </w:r>
    </w:p>
    <w:p w14:paraId="32369D9D" w14:textId="77777777" w:rsidR="009D0AE0" w:rsidRPr="009D0AE0" w:rsidRDefault="009D0AE0"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9D0AE0">
        <w:rPr>
          <w:rFonts w:ascii="Helvetica" w:eastAsia="Times New Roman" w:hAnsi="Helvetica" w:cs="Helvetica"/>
          <w:color w:val="333333"/>
          <w:sz w:val="18"/>
          <w:szCs w:val="18"/>
          <w:lang w:val="es-ES" w:eastAsia="es-ES"/>
        </w:rPr>
        <w:t>La diabetes mellitus tipo 2 es un trastorno metabólico relacionado con el azúcar con mecanismos complicados, en el que InsR es uno de los principales factores responsables del estado de resistencia a la insulina [ </w:t>
      </w:r>
      <w:hyperlink r:id="rId82" w:history="1">
        <w:r w:rsidRPr="009D0AE0">
          <w:rPr>
            <w:rFonts w:ascii="Helvetica" w:eastAsia="Times New Roman" w:hAnsi="Helvetica" w:cs="Helvetica"/>
            <w:color w:val="336699"/>
            <w:sz w:val="18"/>
            <w:szCs w:val="18"/>
            <w:u w:val="single"/>
            <w:lang w:val="es-ES" w:eastAsia="es-ES"/>
          </w:rPr>
          <w:t>25</w:t>
        </w:r>
      </w:hyperlink>
      <w:r w:rsidRPr="009D0AE0">
        <w:rPr>
          <w:rFonts w:ascii="Helvetica" w:eastAsia="Times New Roman" w:hAnsi="Helvetica" w:cs="Helvetica"/>
          <w:color w:val="333333"/>
          <w:sz w:val="18"/>
          <w:szCs w:val="18"/>
          <w:lang w:val="es-ES" w:eastAsia="es-ES"/>
        </w:rPr>
        <w:t> , </w:t>
      </w:r>
      <w:hyperlink r:id="rId83" w:history="1">
        <w:r w:rsidRPr="009D0AE0">
          <w:rPr>
            <w:rFonts w:ascii="Helvetica" w:eastAsia="Times New Roman" w:hAnsi="Helvetica" w:cs="Helvetica"/>
            <w:color w:val="336699"/>
            <w:sz w:val="18"/>
            <w:szCs w:val="18"/>
            <w:u w:val="single"/>
            <w:lang w:val="es-ES" w:eastAsia="es-ES"/>
          </w:rPr>
          <w:t>26</w:t>
        </w:r>
      </w:hyperlink>
      <w:r w:rsidRPr="009D0AE0">
        <w:rPr>
          <w:rFonts w:ascii="Helvetica" w:eastAsia="Times New Roman" w:hAnsi="Helvetica" w:cs="Helvetica"/>
          <w:color w:val="333333"/>
          <w:sz w:val="18"/>
          <w:szCs w:val="18"/>
          <w:lang w:val="es-ES" w:eastAsia="es-ES"/>
        </w:rPr>
        <w:t> , </w:t>
      </w:r>
      <w:hyperlink r:id="rId84" w:history="1">
        <w:r w:rsidRPr="009D0AE0">
          <w:rPr>
            <w:rFonts w:ascii="Helvetica" w:eastAsia="Times New Roman" w:hAnsi="Helvetica" w:cs="Helvetica"/>
            <w:color w:val="336699"/>
            <w:sz w:val="18"/>
            <w:szCs w:val="18"/>
            <w:u w:val="single"/>
            <w:lang w:val="es-ES" w:eastAsia="es-ES"/>
          </w:rPr>
          <w:t>27</w:t>
        </w:r>
      </w:hyperlink>
      <w:r w:rsidRPr="009D0AE0">
        <w:rPr>
          <w:rFonts w:ascii="Helvetica" w:eastAsia="Times New Roman" w:hAnsi="Helvetica" w:cs="Helvetica"/>
          <w:color w:val="333333"/>
          <w:sz w:val="18"/>
          <w:szCs w:val="18"/>
          <w:lang w:val="es-ES" w:eastAsia="es-ES"/>
        </w:rPr>
        <w:t> ]. Los defectos en la expresión o función de InsR causarán resistencia a la insulina y diabetes mellitus [ </w:t>
      </w:r>
      <w:hyperlink r:id="rId85" w:history="1">
        <w:r w:rsidRPr="009D0AE0">
          <w:rPr>
            <w:rFonts w:ascii="Helvetica" w:eastAsia="Times New Roman" w:hAnsi="Helvetica" w:cs="Helvetica"/>
            <w:color w:val="336699"/>
            <w:sz w:val="18"/>
            <w:szCs w:val="18"/>
            <w:u w:val="single"/>
            <w:lang w:val="es-ES" w:eastAsia="es-ES"/>
          </w:rPr>
          <w:t>26</w:t>
        </w:r>
      </w:hyperlink>
      <w:r w:rsidRPr="009D0AE0">
        <w:rPr>
          <w:rFonts w:ascii="Helvetica" w:eastAsia="Times New Roman" w:hAnsi="Helvetica" w:cs="Helvetica"/>
          <w:color w:val="333333"/>
          <w:sz w:val="18"/>
          <w:szCs w:val="18"/>
          <w:lang w:val="es-ES" w:eastAsia="es-ES"/>
        </w:rPr>
        <w:t> , </w:t>
      </w:r>
      <w:hyperlink r:id="rId86" w:history="1">
        <w:r w:rsidRPr="009D0AE0">
          <w:rPr>
            <w:rFonts w:ascii="Helvetica" w:eastAsia="Times New Roman" w:hAnsi="Helvetica" w:cs="Helvetica"/>
            <w:color w:val="336699"/>
            <w:sz w:val="18"/>
            <w:szCs w:val="18"/>
            <w:u w:val="single"/>
            <w:lang w:val="es-ES" w:eastAsia="es-ES"/>
          </w:rPr>
          <w:t>27</w:t>
        </w:r>
      </w:hyperlink>
      <w:r w:rsidRPr="009D0AE0">
        <w:rPr>
          <w:rFonts w:ascii="Helvetica" w:eastAsia="Times New Roman" w:hAnsi="Helvetica" w:cs="Helvetica"/>
          <w:color w:val="333333"/>
          <w:sz w:val="18"/>
          <w:szCs w:val="18"/>
          <w:lang w:val="es-ES" w:eastAsia="es-ES"/>
        </w:rPr>
        <w:t> ]. Nuestros estudios anteriores demostraron que BBR aumenta la expresión de InsR tanto in vitro como en modelos animales [ </w:t>
      </w:r>
      <w:hyperlink r:id="rId87" w:history="1">
        <w:r w:rsidRPr="009D0AE0">
          <w:rPr>
            <w:rFonts w:ascii="Helvetica" w:eastAsia="Times New Roman" w:hAnsi="Helvetica" w:cs="Helvetica"/>
            <w:color w:val="336699"/>
            <w:sz w:val="18"/>
            <w:szCs w:val="18"/>
            <w:u w:val="single"/>
            <w:lang w:val="es-ES" w:eastAsia="es-ES"/>
          </w:rPr>
          <w:t>22</w:t>
        </w:r>
      </w:hyperlink>
      <w:r w:rsidRPr="009D0AE0">
        <w:rPr>
          <w:rFonts w:ascii="Helvetica" w:eastAsia="Times New Roman" w:hAnsi="Helvetica" w:cs="Helvetica"/>
          <w:color w:val="333333"/>
          <w:sz w:val="18"/>
          <w:szCs w:val="18"/>
          <w:lang w:val="es-ES" w:eastAsia="es-ES"/>
        </w:rPr>
        <w:t> ] . En el presente estudio, verificamos que BBR de hecho regula positivamente InsR en los tejidos periféricos en humanos y disminuye la glucosa en sangre en pacientes con DM2.</w:t>
      </w:r>
    </w:p>
    <w:p w14:paraId="74496BAB" w14:textId="77777777" w:rsidR="009D0AE0" w:rsidRPr="009D0AE0" w:rsidRDefault="009D0AE0"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9D0AE0">
        <w:rPr>
          <w:rFonts w:ascii="Helvetica" w:eastAsia="Times New Roman" w:hAnsi="Helvetica" w:cs="Helvetica"/>
          <w:color w:val="333333"/>
          <w:sz w:val="18"/>
          <w:szCs w:val="18"/>
          <w:lang w:val="es-ES" w:eastAsia="es-ES"/>
        </w:rPr>
        <w:t>Parece que el principal mecanismo hipoglucémico de BBR es su regulación positiva de la expresión de InsR. Como InsR se expresa ampliamente en todos los tipos de tejidos [ </w:t>
      </w:r>
      <w:hyperlink r:id="rId88" w:history="1">
        <w:r w:rsidRPr="009D0AE0">
          <w:rPr>
            <w:rFonts w:ascii="Helvetica" w:eastAsia="Times New Roman" w:hAnsi="Helvetica" w:cs="Helvetica"/>
            <w:color w:val="336699"/>
            <w:sz w:val="18"/>
            <w:szCs w:val="18"/>
            <w:u w:val="single"/>
            <w:lang w:val="es-ES" w:eastAsia="es-ES"/>
          </w:rPr>
          <w:t>28</w:t>
        </w:r>
      </w:hyperlink>
      <w:r w:rsidRPr="009D0AE0">
        <w:rPr>
          <w:rFonts w:ascii="Helvetica" w:eastAsia="Times New Roman" w:hAnsi="Helvetica" w:cs="Helvetica"/>
          <w:color w:val="333333"/>
          <w:sz w:val="18"/>
          <w:szCs w:val="18"/>
          <w:lang w:val="es-ES" w:eastAsia="es-ES"/>
        </w:rPr>
        <w:t xml:space="preserve"> ] , analizamos el efecto de BBR en InsR en varios tipos de líneas celulares humanas. Nuestros resultados demostraron que, además de las células hepáticas y musculares, BBR también aumentó la expresión de ARNm y proteína InsR en una variedad de otras líneas celulares. Acompañado por la regulación positiva de InsR, la señalización </w:t>
      </w:r>
      <w:r w:rsidRPr="009D0AE0">
        <w:rPr>
          <w:rFonts w:ascii="Helvetica" w:eastAsia="Times New Roman" w:hAnsi="Helvetica" w:cs="Helvetica"/>
          <w:color w:val="333333"/>
          <w:sz w:val="18"/>
          <w:szCs w:val="18"/>
          <w:lang w:val="es-ES" w:eastAsia="es-ES"/>
        </w:rPr>
        <w:lastRenderedPageBreak/>
        <w:t>de insulina se mejoró significativamente después del tratamiento con BBR, lo que confirma la acción de BBR como sensibilizador de insulina. La mejora de la ruta de fosfoinositol-3-quinasa-Akt estimulada por insulina aquí estaba de acuerdo con los experimentos de consumo / absorción de glucosa en nuestro estudio anterior [ </w:t>
      </w:r>
      <w:hyperlink r:id="rId89" w:history="1">
        <w:r w:rsidRPr="009D0AE0">
          <w:rPr>
            <w:rFonts w:ascii="Helvetica" w:eastAsia="Times New Roman" w:hAnsi="Helvetica" w:cs="Helvetica"/>
            <w:color w:val="336699"/>
            <w:sz w:val="18"/>
            <w:szCs w:val="18"/>
            <w:u w:val="single"/>
            <w:lang w:val="es-ES" w:eastAsia="es-ES"/>
          </w:rPr>
          <w:t>22</w:t>
        </w:r>
      </w:hyperlink>
      <w:r w:rsidRPr="009D0AE0">
        <w:rPr>
          <w:rFonts w:ascii="Helvetica" w:eastAsia="Times New Roman" w:hAnsi="Helvetica" w:cs="Helvetica"/>
          <w:color w:val="333333"/>
          <w:sz w:val="18"/>
          <w:szCs w:val="18"/>
          <w:lang w:val="es-ES" w:eastAsia="es-ES"/>
        </w:rPr>
        <w:t> ] y en otro informe [ </w:t>
      </w:r>
      <w:hyperlink r:id="rId90" w:history="1">
        <w:r w:rsidRPr="009D0AE0">
          <w:rPr>
            <w:rFonts w:ascii="Helvetica" w:eastAsia="Times New Roman" w:hAnsi="Helvetica" w:cs="Helvetica"/>
            <w:color w:val="336699"/>
            <w:sz w:val="18"/>
            <w:szCs w:val="18"/>
            <w:u w:val="single"/>
            <w:lang w:val="es-ES" w:eastAsia="es-ES"/>
          </w:rPr>
          <w:t>29</w:t>
        </w:r>
      </w:hyperlink>
      <w:r w:rsidRPr="009D0AE0">
        <w:rPr>
          <w:rFonts w:ascii="Helvetica" w:eastAsia="Times New Roman" w:hAnsi="Helvetica" w:cs="Helvetica"/>
          <w:color w:val="333333"/>
          <w:sz w:val="18"/>
          <w:szCs w:val="18"/>
          <w:lang w:val="es-ES" w:eastAsia="es-ES"/>
        </w:rPr>
        <w:t>] .</w:t>
      </w:r>
    </w:p>
    <w:p w14:paraId="3FB484F2" w14:textId="77777777" w:rsidR="009D0AE0" w:rsidRPr="009D0AE0" w:rsidRDefault="009D0AE0"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9D0AE0">
        <w:rPr>
          <w:rFonts w:ascii="Helvetica" w:eastAsia="Times New Roman" w:hAnsi="Helvetica" w:cs="Helvetica"/>
          <w:color w:val="333333"/>
          <w:sz w:val="18"/>
          <w:szCs w:val="18"/>
          <w:lang w:val="es-ES" w:eastAsia="es-ES"/>
        </w:rPr>
        <w:t>Luego analizamos la actividad reguladora de InsR-up de BBR y su relación con el efecto reductor de glucosa en pacientes hiperglucémicos. Inconsistente con los resultados del experimento animal [ </w:t>
      </w:r>
      <w:hyperlink r:id="rId91" w:history="1">
        <w:r w:rsidRPr="009D0AE0">
          <w:rPr>
            <w:rFonts w:ascii="Helvetica" w:eastAsia="Times New Roman" w:hAnsi="Helvetica" w:cs="Helvetica"/>
            <w:color w:val="336699"/>
            <w:sz w:val="18"/>
            <w:szCs w:val="18"/>
            <w:u w:val="single"/>
            <w:lang w:val="es-ES" w:eastAsia="es-ES"/>
          </w:rPr>
          <w:t>22</w:t>
        </w:r>
      </w:hyperlink>
      <w:r w:rsidRPr="009D0AE0">
        <w:rPr>
          <w:rFonts w:ascii="Helvetica" w:eastAsia="Times New Roman" w:hAnsi="Helvetica" w:cs="Helvetica"/>
          <w:color w:val="333333"/>
          <w:sz w:val="18"/>
          <w:szCs w:val="18"/>
          <w:lang w:val="es-ES" w:eastAsia="es-ES"/>
        </w:rPr>
        <w:t> ] , BBR aumentó la expresión de InsR in vivo en humanos. Como la expresión de InsR en PBL se correlacionó negativamente con el efecto hipoglucémico de BBR, podría ser un bioensayo futuro evaluar a los pacientes con DM2 por su sensibilidad al tratamiento con BBR.</w:t>
      </w:r>
    </w:p>
    <w:p w14:paraId="0B5CFB47" w14:textId="77777777" w:rsidR="009D0AE0" w:rsidRPr="009D0AE0" w:rsidRDefault="009D0AE0"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9D0AE0">
        <w:rPr>
          <w:rFonts w:ascii="Helvetica" w:eastAsia="Times New Roman" w:hAnsi="Helvetica" w:cs="Helvetica"/>
          <w:color w:val="333333"/>
          <w:sz w:val="18"/>
          <w:szCs w:val="18"/>
          <w:lang w:val="es-ES" w:eastAsia="es-ES"/>
        </w:rPr>
        <w:t>Además de FBG, se midió la HbA </w:t>
      </w:r>
      <w:r w:rsidRPr="009D0AE0">
        <w:rPr>
          <w:rFonts w:ascii="Helvetica" w:eastAsia="Times New Roman" w:hAnsi="Helvetica" w:cs="Helvetica"/>
          <w:color w:val="333333"/>
          <w:sz w:val="20"/>
          <w:szCs w:val="20"/>
          <w:vertAlign w:val="subscript"/>
          <w:lang w:val="es-ES" w:eastAsia="es-ES"/>
        </w:rPr>
        <w:t>1c</w:t>
      </w:r>
      <w:r w:rsidRPr="009D0AE0">
        <w:rPr>
          <w:rFonts w:ascii="Helvetica" w:eastAsia="Times New Roman" w:hAnsi="Helvetica" w:cs="Helvetica"/>
          <w:color w:val="333333"/>
          <w:sz w:val="18"/>
          <w:szCs w:val="18"/>
          <w:lang w:val="es-ES" w:eastAsia="es-ES"/>
        </w:rPr>
        <w:t> en este estudio porque es un factor preeminente para controlar la glucemia y evaluar los riesgos de complicaciones en pacientes diabéticos [ </w:t>
      </w:r>
      <w:hyperlink r:id="rId92" w:history="1">
        <w:r w:rsidRPr="009D0AE0">
          <w:rPr>
            <w:rFonts w:ascii="Helvetica" w:eastAsia="Times New Roman" w:hAnsi="Helvetica" w:cs="Helvetica"/>
            <w:color w:val="336699"/>
            <w:sz w:val="18"/>
            <w:szCs w:val="18"/>
            <w:u w:val="single"/>
            <w:lang w:val="es-ES" w:eastAsia="es-ES"/>
          </w:rPr>
          <w:t>30</w:t>
        </w:r>
      </w:hyperlink>
      <w:r w:rsidRPr="009D0AE0">
        <w:rPr>
          <w:rFonts w:ascii="Helvetica" w:eastAsia="Times New Roman" w:hAnsi="Helvetica" w:cs="Helvetica"/>
          <w:color w:val="333333"/>
          <w:sz w:val="18"/>
          <w:szCs w:val="18"/>
          <w:lang w:val="es-ES" w:eastAsia="es-ES"/>
        </w:rPr>
        <w:t> ] ; el nivel de TG en suero también se determinó porque su síntesis está estrechamente asociada con el metabolismo de la glucosa. La berberina reduce eficazmente tanto la FBG como la HbA </w:t>
      </w:r>
      <w:r w:rsidRPr="009D0AE0">
        <w:rPr>
          <w:rFonts w:ascii="Helvetica" w:eastAsia="Times New Roman" w:hAnsi="Helvetica" w:cs="Helvetica"/>
          <w:color w:val="333333"/>
          <w:sz w:val="20"/>
          <w:szCs w:val="20"/>
          <w:vertAlign w:val="subscript"/>
          <w:lang w:val="es-ES" w:eastAsia="es-ES"/>
        </w:rPr>
        <w:t>1c</w:t>
      </w:r>
      <w:r w:rsidRPr="009D0AE0">
        <w:rPr>
          <w:rFonts w:ascii="Helvetica" w:eastAsia="Times New Roman" w:hAnsi="Helvetica" w:cs="Helvetica"/>
          <w:color w:val="333333"/>
          <w:sz w:val="18"/>
          <w:szCs w:val="18"/>
          <w:lang w:val="es-ES" w:eastAsia="es-ES"/>
        </w:rPr>
        <w:t> en pacientes con DM2 en este estudio. La eficacia de BBR es comparable a la de metformina y rosiglitazona. Sin embargo, funcionan a través de diferentes mecanismos. La rosiglitazona reduce la resistencia a la insulina al dirigirse a un receptor nuclear huérfano, receptor activado por el proliferador de peroxisomas - </w:t>
      </w:r>
      <w:r w:rsidRPr="009D0AE0">
        <w:rPr>
          <w:rFonts w:ascii="Helvetica" w:eastAsia="Times New Roman" w:hAnsi="Helvetica" w:cs="Helvetica"/>
          <w:i/>
          <w:iCs/>
          <w:color w:val="333333"/>
          <w:sz w:val="18"/>
          <w:szCs w:val="18"/>
          <w:lang w:val="es-ES" w:eastAsia="es-ES"/>
        </w:rPr>
        <w:t>γ</w:t>
      </w:r>
      <w:r w:rsidRPr="009D0AE0">
        <w:rPr>
          <w:rFonts w:ascii="Helvetica" w:eastAsia="Times New Roman" w:hAnsi="Helvetica" w:cs="Helvetica"/>
          <w:color w:val="333333"/>
          <w:sz w:val="18"/>
          <w:szCs w:val="18"/>
          <w:lang w:val="es-ES" w:eastAsia="es-ES"/>
        </w:rPr>
        <w:t> [ </w:t>
      </w:r>
      <w:hyperlink r:id="rId93" w:history="1">
        <w:r w:rsidRPr="009D0AE0">
          <w:rPr>
            <w:rFonts w:ascii="Helvetica" w:eastAsia="Times New Roman" w:hAnsi="Helvetica" w:cs="Helvetica"/>
            <w:color w:val="336699"/>
            <w:sz w:val="18"/>
            <w:szCs w:val="18"/>
            <w:u w:val="single"/>
            <w:lang w:val="es-ES" w:eastAsia="es-ES"/>
          </w:rPr>
          <w:t>31</w:t>
        </w:r>
      </w:hyperlink>
      <w:r w:rsidRPr="009D0AE0">
        <w:rPr>
          <w:rFonts w:ascii="Helvetica" w:eastAsia="Times New Roman" w:hAnsi="Helvetica" w:cs="Helvetica"/>
          <w:color w:val="333333"/>
          <w:sz w:val="18"/>
          <w:szCs w:val="18"/>
          <w:lang w:val="es-ES" w:eastAsia="es-ES"/>
        </w:rPr>
        <w:t> , </w:t>
      </w:r>
      <w:hyperlink r:id="rId94" w:history="1">
        <w:r w:rsidRPr="009D0AE0">
          <w:rPr>
            <w:rFonts w:ascii="Helvetica" w:eastAsia="Times New Roman" w:hAnsi="Helvetica" w:cs="Helvetica"/>
            <w:color w:val="336699"/>
            <w:sz w:val="18"/>
            <w:szCs w:val="18"/>
            <w:u w:val="single"/>
            <w:lang w:val="es-ES" w:eastAsia="es-ES"/>
          </w:rPr>
          <w:t>32</w:t>
        </w:r>
      </w:hyperlink>
      <w:r w:rsidRPr="009D0AE0">
        <w:rPr>
          <w:rFonts w:ascii="Helvetica" w:eastAsia="Times New Roman" w:hAnsi="Helvetica" w:cs="Helvetica"/>
          <w:color w:val="333333"/>
          <w:sz w:val="18"/>
          <w:szCs w:val="18"/>
          <w:lang w:val="es-ES" w:eastAsia="es-ES"/>
        </w:rPr>
        <w:t>] La metformina se ha usado para tratar la diabetes durante casi 50 años; actúa sobre los transportadores de glucosa y estimula la absorción de glucosa en los tejidos [ </w:t>
      </w:r>
      <w:hyperlink r:id="rId95" w:history="1">
        <w:r w:rsidRPr="009D0AE0">
          <w:rPr>
            <w:rFonts w:ascii="Helvetica" w:eastAsia="Times New Roman" w:hAnsi="Helvetica" w:cs="Helvetica"/>
            <w:color w:val="336699"/>
            <w:sz w:val="18"/>
            <w:szCs w:val="18"/>
            <w:u w:val="single"/>
            <w:lang w:val="es-ES" w:eastAsia="es-ES"/>
          </w:rPr>
          <w:t>33</w:t>
        </w:r>
      </w:hyperlink>
      <w:r w:rsidRPr="009D0AE0">
        <w:rPr>
          <w:rFonts w:ascii="Helvetica" w:eastAsia="Times New Roman" w:hAnsi="Helvetica" w:cs="Helvetica"/>
          <w:color w:val="333333"/>
          <w:sz w:val="18"/>
          <w:szCs w:val="18"/>
          <w:lang w:val="es-ES" w:eastAsia="es-ES"/>
        </w:rPr>
        <w:t> ] .</w:t>
      </w:r>
    </w:p>
    <w:p w14:paraId="09209196" w14:textId="77777777" w:rsidR="009D0AE0" w:rsidRPr="009D0AE0" w:rsidRDefault="009D0AE0"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9D0AE0">
        <w:rPr>
          <w:rFonts w:ascii="Helvetica" w:eastAsia="Times New Roman" w:hAnsi="Helvetica" w:cs="Helvetica"/>
          <w:color w:val="333333"/>
          <w:sz w:val="18"/>
          <w:szCs w:val="18"/>
          <w:lang w:val="es-ES" w:eastAsia="es-ES"/>
        </w:rPr>
        <w:t>Contrariamente a las TZD, varios estudios revelaron que BBR reduce el nivel de expresión del receptor activado por proliferador de peroxisomas </w:t>
      </w:r>
      <w:r w:rsidRPr="009D0AE0">
        <w:rPr>
          <w:rFonts w:ascii="Helvetica" w:eastAsia="Times New Roman" w:hAnsi="Helvetica" w:cs="Helvetica"/>
          <w:i/>
          <w:iCs/>
          <w:color w:val="333333"/>
          <w:sz w:val="18"/>
          <w:szCs w:val="18"/>
          <w:lang w:val="es-ES" w:eastAsia="es-ES"/>
        </w:rPr>
        <w:t>γ</w:t>
      </w:r>
      <w:r w:rsidRPr="009D0AE0">
        <w:rPr>
          <w:rFonts w:ascii="Helvetica" w:eastAsia="Times New Roman" w:hAnsi="Helvetica" w:cs="Helvetica"/>
          <w:color w:val="333333"/>
          <w:sz w:val="18"/>
          <w:szCs w:val="18"/>
          <w:lang w:val="es-ES" w:eastAsia="es-ES"/>
        </w:rPr>
        <w:t> , suprime la diferenciación de preadipocitos y reduce la acumulación de gotas de lípidos [ </w:t>
      </w:r>
      <w:hyperlink r:id="rId96" w:history="1">
        <w:r w:rsidRPr="009D0AE0">
          <w:rPr>
            <w:rFonts w:ascii="Helvetica" w:eastAsia="Times New Roman" w:hAnsi="Helvetica" w:cs="Helvetica"/>
            <w:color w:val="336699"/>
            <w:sz w:val="18"/>
            <w:szCs w:val="18"/>
            <w:u w:val="single"/>
            <w:lang w:val="es-ES" w:eastAsia="es-ES"/>
          </w:rPr>
          <w:t>34</w:t>
        </w:r>
      </w:hyperlink>
      <w:r w:rsidRPr="009D0AE0">
        <w:rPr>
          <w:rFonts w:ascii="Helvetica" w:eastAsia="Times New Roman" w:hAnsi="Helvetica" w:cs="Helvetica"/>
          <w:color w:val="333333"/>
          <w:sz w:val="18"/>
          <w:szCs w:val="18"/>
          <w:lang w:val="es-ES" w:eastAsia="es-ES"/>
        </w:rPr>
        <w:t> , </w:t>
      </w:r>
      <w:hyperlink r:id="rId97" w:history="1">
        <w:r w:rsidRPr="009D0AE0">
          <w:rPr>
            <w:rFonts w:ascii="Helvetica" w:eastAsia="Times New Roman" w:hAnsi="Helvetica" w:cs="Helvetica"/>
            <w:color w:val="336699"/>
            <w:sz w:val="18"/>
            <w:szCs w:val="18"/>
            <w:u w:val="single"/>
            <w:lang w:val="es-ES" w:eastAsia="es-ES"/>
          </w:rPr>
          <w:t>35</w:t>
        </w:r>
      </w:hyperlink>
      <w:r w:rsidRPr="009D0AE0">
        <w:rPr>
          <w:rFonts w:ascii="Helvetica" w:eastAsia="Times New Roman" w:hAnsi="Helvetica" w:cs="Helvetica"/>
          <w:color w:val="333333"/>
          <w:sz w:val="18"/>
          <w:szCs w:val="18"/>
          <w:lang w:val="es-ES" w:eastAsia="es-ES"/>
        </w:rPr>
        <w:t> , </w:t>
      </w:r>
      <w:hyperlink r:id="rId98" w:history="1">
        <w:r w:rsidRPr="009D0AE0">
          <w:rPr>
            <w:rFonts w:ascii="Helvetica" w:eastAsia="Times New Roman" w:hAnsi="Helvetica" w:cs="Helvetica"/>
            <w:color w:val="336699"/>
            <w:sz w:val="18"/>
            <w:szCs w:val="18"/>
            <w:u w:val="single"/>
            <w:lang w:val="es-ES" w:eastAsia="es-ES"/>
          </w:rPr>
          <w:t>36</w:t>
        </w:r>
      </w:hyperlink>
      <w:r w:rsidRPr="009D0AE0">
        <w:rPr>
          <w:rFonts w:ascii="Helvetica" w:eastAsia="Times New Roman" w:hAnsi="Helvetica" w:cs="Helvetica"/>
          <w:color w:val="333333"/>
          <w:sz w:val="18"/>
          <w:szCs w:val="18"/>
          <w:lang w:val="es-ES" w:eastAsia="es-ES"/>
        </w:rPr>
        <w:t> ]. Por lo tanto, a diferencia de las TZD, que pueden conducir al aumento de peso, BBR puede ser más adecuado para pacientes con obesidad y resistencia a la insulina / T2DM. Los mecanismos sensibilizadores de insulina y reductores de glucosa de BBR son de gran interés en este campo. Estudios recientes también mostraron que BBR activa la proteína quinasa activada por monofosfato de adenosina, que puede desempeñar un papel en la reducción de la resistencia a la insulina [ </w:t>
      </w:r>
      <w:hyperlink r:id="rId99" w:history="1">
        <w:r w:rsidRPr="009D0AE0">
          <w:rPr>
            <w:rFonts w:ascii="Helvetica" w:eastAsia="Times New Roman" w:hAnsi="Helvetica" w:cs="Helvetica"/>
            <w:color w:val="336699"/>
            <w:sz w:val="18"/>
            <w:szCs w:val="18"/>
            <w:u w:val="single"/>
            <w:lang w:val="es-ES" w:eastAsia="es-ES"/>
          </w:rPr>
          <w:t>37</w:t>
        </w:r>
      </w:hyperlink>
      <w:r w:rsidRPr="009D0AE0">
        <w:rPr>
          <w:rFonts w:ascii="Helvetica" w:eastAsia="Times New Roman" w:hAnsi="Helvetica" w:cs="Helvetica"/>
          <w:color w:val="333333"/>
          <w:sz w:val="18"/>
          <w:szCs w:val="18"/>
          <w:lang w:val="es-ES" w:eastAsia="es-ES"/>
        </w:rPr>
        <w:t> , </w:t>
      </w:r>
      <w:hyperlink r:id="rId100" w:history="1">
        <w:r w:rsidRPr="009D0AE0">
          <w:rPr>
            <w:rFonts w:ascii="Helvetica" w:eastAsia="Times New Roman" w:hAnsi="Helvetica" w:cs="Helvetica"/>
            <w:color w:val="336699"/>
            <w:sz w:val="18"/>
            <w:szCs w:val="18"/>
            <w:u w:val="single"/>
            <w:lang w:val="es-ES" w:eastAsia="es-ES"/>
          </w:rPr>
          <w:t>38</w:t>
        </w:r>
      </w:hyperlink>
      <w:r w:rsidRPr="009D0AE0">
        <w:rPr>
          <w:rFonts w:ascii="Helvetica" w:eastAsia="Times New Roman" w:hAnsi="Helvetica" w:cs="Helvetica"/>
          <w:color w:val="333333"/>
          <w:sz w:val="18"/>
          <w:szCs w:val="18"/>
          <w:lang w:val="es-ES" w:eastAsia="es-ES"/>
        </w:rPr>
        <w:t>] Esta información en su conjunto podría ayudarnos a dilucidar toda la red de señales de BBR. En comparación con metformina y rosiglitazona, BBR mostró más actividad en la reducción del nivel de TG en suero, lo que representa su ventaja de efecto sinérgico en el metabolismo de azúcar y lípidos.</w:t>
      </w:r>
    </w:p>
    <w:p w14:paraId="417DE336" w14:textId="77777777" w:rsidR="009D0AE0" w:rsidRPr="009D0AE0" w:rsidRDefault="009D0AE0"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9D0AE0">
        <w:rPr>
          <w:rFonts w:ascii="Helvetica" w:eastAsia="Times New Roman" w:hAnsi="Helvetica" w:cs="Helvetica"/>
          <w:color w:val="333333"/>
          <w:sz w:val="18"/>
          <w:szCs w:val="18"/>
          <w:lang w:val="es-ES" w:eastAsia="es-ES"/>
        </w:rPr>
        <w:t>La metformina y la rosiglitazona son medicamentos de primera línea para la DM2 en la clínica; sin embargo, no se recomiendan para pacientes con insuficiencia hepática [ </w:t>
      </w:r>
      <w:hyperlink r:id="rId101" w:history="1">
        <w:r w:rsidRPr="009D0AE0">
          <w:rPr>
            <w:rFonts w:ascii="Helvetica" w:eastAsia="Times New Roman" w:hAnsi="Helvetica" w:cs="Helvetica"/>
            <w:color w:val="336699"/>
            <w:sz w:val="18"/>
            <w:szCs w:val="18"/>
            <w:u w:val="single"/>
            <w:lang w:val="es-ES" w:eastAsia="es-ES"/>
          </w:rPr>
          <w:t>39</w:t>
        </w:r>
      </w:hyperlink>
      <w:r w:rsidRPr="009D0AE0">
        <w:rPr>
          <w:rFonts w:ascii="Helvetica" w:eastAsia="Times New Roman" w:hAnsi="Helvetica" w:cs="Helvetica"/>
          <w:color w:val="333333"/>
          <w:sz w:val="18"/>
          <w:szCs w:val="18"/>
          <w:lang w:val="es-ES" w:eastAsia="es-ES"/>
        </w:rPr>
        <w:t> , </w:t>
      </w:r>
      <w:hyperlink r:id="rId102" w:history="1">
        <w:r w:rsidRPr="009D0AE0">
          <w:rPr>
            <w:rFonts w:ascii="Helvetica" w:eastAsia="Times New Roman" w:hAnsi="Helvetica" w:cs="Helvetica"/>
            <w:color w:val="336699"/>
            <w:sz w:val="18"/>
            <w:szCs w:val="18"/>
            <w:u w:val="single"/>
            <w:lang w:val="es-ES" w:eastAsia="es-ES"/>
          </w:rPr>
          <w:t>40</w:t>
        </w:r>
      </w:hyperlink>
      <w:r w:rsidRPr="009D0AE0">
        <w:rPr>
          <w:rFonts w:ascii="Helvetica" w:eastAsia="Times New Roman" w:hAnsi="Helvetica" w:cs="Helvetica"/>
          <w:color w:val="333333"/>
          <w:sz w:val="18"/>
          <w:szCs w:val="18"/>
          <w:lang w:val="es-ES" w:eastAsia="es-ES"/>
        </w:rPr>
        <w:t> ]. Se ha convertido en un problema clínico para los médicos chinos debido al aumento de la población de pacientes con DM2 en China. Como BBR aumenta efectivamente la expresión de InsR en las células hepáticas humanas transfectadas con HBV, consideramos que es una opción potencial para pacientes hiperglucémicos con hepatitis. El estudio clínico se realizó en pacientes con hepatitis diagnosticados con DM2 o IFG, un estado intermedio entre normal y diabetes mellitus [ </w:t>
      </w:r>
      <w:hyperlink r:id="rId103" w:history="1">
        <w:r w:rsidRPr="009D0AE0">
          <w:rPr>
            <w:rFonts w:ascii="Helvetica" w:eastAsia="Times New Roman" w:hAnsi="Helvetica" w:cs="Helvetica"/>
            <w:color w:val="336699"/>
            <w:sz w:val="18"/>
            <w:szCs w:val="18"/>
            <w:u w:val="single"/>
            <w:lang w:val="es-ES" w:eastAsia="es-ES"/>
          </w:rPr>
          <w:t>41</w:t>
        </w:r>
      </w:hyperlink>
      <w:r w:rsidRPr="009D0AE0">
        <w:rPr>
          <w:rFonts w:ascii="Helvetica" w:eastAsia="Times New Roman" w:hAnsi="Helvetica" w:cs="Helvetica"/>
          <w:color w:val="333333"/>
          <w:sz w:val="18"/>
          <w:szCs w:val="18"/>
          <w:lang w:val="es-ES" w:eastAsia="es-ES"/>
        </w:rPr>
        <w:t> ]. Nuestros resultados demostraron que BBR era seguro y redujo significativamente la glucosa en sangre en estos pacientes. La función hepática de los pacientes con hepatitis mejoró después del tratamiento con BBR, coincidiendo con la observación de BBR en el tratamiento de pacientes hiperlipidémicos con enfermedades hepáticas [ </w:t>
      </w:r>
      <w:hyperlink r:id="rId104" w:history="1">
        <w:r w:rsidRPr="009D0AE0">
          <w:rPr>
            <w:rFonts w:ascii="Helvetica" w:eastAsia="Times New Roman" w:hAnsi="Helvetica" w:cs="Helvetica"/>
            <w:color w:val="336699"/>
            <w:sz w:val="18"/>
            <w:szCs w:val="18"/>
            <w:u w:val="single"/>
            <w:lang w:val="es-ES" w:eastAsia="es-ES"/>
          </w:rPr>
          <w:t>24</w:t>
        </w:r>
      </w:hyperlink>
      <w:r w:rsidRPr="009D0AE0">
        <w:rPr>
          <w:rFonts w:ascii="Helvetica" w:eastAsia="Times New Roman" w:hAnsi="Helvetica" w:cs="Helvetica"/>
          <w:color w:val="333333"/>
          <w:sz w:val="18"/>
          <w:szCs w:val="18"/>
          <w:lang w:val="es-ES" w:eastAsia="es-ES"/>
        </w:rPr>
        <w:t> ] .</w:t>
      </w:r>
    </w:p>
    <w:p w14:paraId="15825F8B" w14:textId="77777777" w:rsidR="009D0AE0" w:rsidRPr="009D0AE0" w:rsidRDefault="009D0AE0" w:rsidP="007C0944">
      <w:pPr>
        <w:shd w:val="clear" w:color="auto" w:fill="FFFFFF"/>
        <w:spacing w:after="288" w:line="360" w:lineRule="atLeast"/>
        <w:jc w:val="both"/>
        <w:rPr>
          <w:rFonts w:ascii="Helvetica" w:eastAsia="Times New Roman" w:hAnsi="Helvetica" w:cs="Helvetica"/>
          <w:color w:val="333333"/>
          <w:sz w:val="18"/>
          <w:szCs w:val="18"/>
          <w:lang w:val="es-ES" w:eastAsia="es-ES"/>
        </w:rPr>
      </w:pPr>
      <w:r w:rsidRPr="009D0AE0">
        <w:rPr>
          <w:rFonts w:ascii="Helvetica" w:eastAsia="Times New Roman" w:hAnsi="Helvetica" w:cs="Helvetica"/>
          <w:color w:val="333333"/>
          <w:sz w:val="18"/>
          <w:szCs w:val="18"/>
          <w:lang w:val="es-ES" w:eastAsia="es-ES"/>
        </w:rPr>
        <w:t>Tomados en conjunto, como BBR mejora la sensibilidad a la insulina en los tejidos periféricos a través de una regulación positiva de InsR dependiente de proteína quinasa C y siempre muestra un historial de seguridad convincente en los pacientes, sugerimos firmemente que este compuesto natural sea un medicamento ideal para la DM2.</w:t>
      </w:r>
    </w:p>
    <w:p w14:paraId="45981191" w14:textId="77777777" w:rsidR="009D0AE0" w:rsidRDefault="009D0AE0" w:rsidP="007C0944">
      <w:pPr>
        <w:spacing w:after="288" w:line="360" w:lineRule="atLeast"/>
        <w:jc w:val="both"/>
      </w:pPr>
      <w:r>
        <w:rPr>
          <w:rFonts w:ascii="Helvetica" w:hAnsi="Helvetica" w:cs="Helvetica"/>
          <w:color w:val="333333"/>
          <w:sz w:val="18"/>
          <w:szCs w:val="18"/>
          <w:shd w:val="clear" w:color="auto" w:fill="FFFFFF"/>
        </w:rPr>
        <w:t xml:space="preserve">Este estudio fue apoyado por el 10º Programa de 5 años / Proyecto clave del Ministerio de Ciencias y Tecnología de China (JD </w:t>
      </w:r>
      <w:proofErr w:type="spellStart"/>
      <w:r>
        <w:rPr>
          <w:rFonts w:ascii="Helvetica" w:hAnsi="Helvetica" w:cs="Helvetica"/>
          <w:color w:val="333333"/>
          <w:sz w:val="18"/>
          <w:szCs w:val="18"/>
          <w:shd w:val="clear" w:color="auto" w:fill="FFFFFF"/>
        </w:rPr>
        <w:t>Jiang</w:t>
      </w:r>
      <w:proofErr w:type="spellEnd"/>
      <w:r>
        <w:rPr>
          <w:rFonts w:ascii="Helvetica" w:hAnsi="Helvetica" w:cs="Helvetica"/>
          <w:color w:val="333333"/>
          <w:sz w:val="18"/>
          <w:szCs w:val="18"/>
          <w:shd w:val="clear" w:color="auto" w:fill="FFFFFF"/>
        </w:rPr>
        <w:t xml:space="preserve">) y la Fundación Nacional de Ciencias Naturales de China (39925037, 39870889 y 39930190; JD </w:t>
      </w:r>
      <w:proofErr w:type="spellStart"/>
      <w:r>
        <w:rPr>
          <w:rFonts w:ascii="Helvetica" w:hAnsi="Helvetica" w:cs="Helvetica"/>
          <w:color w:val="333333"/>
          <w:sz w:val="18"/>
          <w:szCs w:val="18"/>
          <w:shd w:val="clear" w:color="auto" w:fill="FFFFFF"/>
        </w:rPr>
        <w:t>Jiang</w:t>
      </w:r>
      <w:proofErr w:type="spellEnd"/>
      <w:r>
        <w:rPr>
          <w:rFonts w:ascii="Helvetica" w:hAnsi="Helvetica" w:cs="Helvetica"/>
          <w:color w:val="333333"/>
          <w:sz w:val="18"/>
          <w:szCs w:val="18"/>
          <w:shd w:val="clear" w:color="auto" w:fill="FFFFFF"/>
        </w:rPr>
        <w:t>).</w:t>
      </w:r>
    </w:p>
    <w:sectPr w:rsidR="009D0AE0" w:rsidSect="007650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31"/>
    <w:rsid w:val="00285992"/>
    <w:rsid w:val="002A10B7"/>
    <w:rsid w:val="004603C3"/>
    <w:rsid w:val="005B5797"/>
    <w:rsid w:val="00765031"/>
    <w:rsid w:val="007757F8"/>
    <w:rsid w:val="007C0944"/>
    <w:rsid w:val="008571D2"/>
    <w:rsid w:val="008916D8"/>
    <w:rsid w:val="008C278A"/>
    <w:rsid w:val="0090593B"/>
    <w:rsid w:val="009D0AE0"/>
    <w:rsid w:val="00FB55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CC9B"/>
  <w15:chartTrackingRefBased/>
  <w15:docId w15:val="{DB8E0533-7F10-46A4-B776-6A6010BA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9D0A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D0A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650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7650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765031"/>
    <w:rPr>
      <w:rFonts w:asciiTheme="majorHAnsi" w:eastAsiaTheme="majorEastAsia" w:hAnsiTheme="majorHAnsi" w:cstheme="majorBidi"/>
      <w:color w:val="1F3763" w:themeColor="accent1" w:themeShade="7F"/>
      <w:sz w:val="24"/>
      <w:szCs w:val="24"/>
      <w:lang w:val="es-ES_tradnl"/>
    </w:rPr>
  </w:style>
  <w:style w:type="character" w:customStyle="1" w:styleId="Ttulo4Car">
    <w:name w:val="Título 4 Car"/>
    <w:basedOn w:val="Fuentedeprrafopredeter"/>
    <w:link w:val="Ttulo4"/>
    <w:uiPriority w:val="9"/>
    <w:semiHidden/>
    <w:rsid w:val="00765031"/>
    <w:rPr>
      <w:rFonts w:asciiTheme="majorHAnsi" w:eastAsiaTheme="majorEastAsia" w:hAnsiTheme="majorHAnsi" w:cstheme="majorBidi"/>
      <w:i/>
      <w:iCs/>
      <w:color w:val="2F5496" w:themeColor="accent1" w:themeShade="BF"/>
      <w:lang w:val="es-ES_tradnl"/>
    </w:rPr>
  </w:style>
  <w:style w:type="character" w:styleId="Hipervnculo">
    <w:name w:val="Hyperlink"/>
    <w:basedOn w:val="Fuentedeprrafopredeter"/>
    <w:uiPriority w:val="99"/>
    <w:unhideWhenUsed/>
    <w:rsid w:val="00765031"/>
    <w:rPr>
      <w:color w:val="0000FF"/>
      <w:u w:val="single"/>
    </w:rPr>
  </w:style>
  <w:style w:type="character" w:styleId="nfasis">
    <w:name w:val="Emphasis"/>
    <w:basedOn w:val="Fuentedeprrafopredeter"/>
    <w:uiPriority w:val="20"/>
    <w:qFormat/>
    <w:rsid w:val="00765031"/>
    <w:rPr>
      <w:i/>
      <w:iCs/>
    </w:rPr>
  </w:style>
  <w:style w:type="paragraph" w:customStyle="1" w:styleId="caption-title">
    <w:name w:val="caption-title"/>
    <w:basedOn w:val="Normal"/>
    <w:rsid w:val="0076503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label">
    <w:name w:val="label"/>
    <w:basedOn w:val="Fuentedeprrafopredeter"/>
    <w:rsid w:val="00765031"/>
  </w:style>
  <w:style w:type="paragraph" w:styleId="NormalWeb">
    <w:name w:val="Normal (Web)"/>
    <w:basedOn w:val="Normal"/>
    <w:uiPriority w:val="99"/>
    <w:semiHidden/>
    <w:unhideWhenUsed/>
    <w:rsid w:val="0076503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765031"/>
    <w:rPr>
      <w:color w:val="605E5C"/>
      <w:shd w:val="clear" w:color="auto" w:fill="E1DFDD"/>
    </w:rPr>
  </w:style>
  <w:style w:type="character" w:customStyle="1" w:styleId="Ttulo2Car">
    <w:name w:val="Título 2 Car"/>
    <w:basedOn w:val="Fuentedeprrafopredeter"/>
    <w:link w:val="Ttulo2"/>
    <w:uiPriority w:val="9"/>
    <w:semiHidden/>
    <w:rsid w:val="009D0AE0"/>
    <w:rPr>
      <w:rFonts w:asciiTheme="majorHAnsi" w:eastAsiaTheme="majorEastAsia" w:hAnsiTheme="majorHAnsi" w:cstheme="majorBidi"/>
      <w:color w:val="2F5496" w:themeColor="accent1" w:themeShade="BF"/>
      <w:sz w:val="26"/>
      <w:szCs w:val="26"/>
      <w:lang w:val="es-ES_tradnl"/>
    </w:rPr>
  </w:style>
  <w:style w:type="character" w:customStyle="1" w:styleId="Ttulo1Car">
    <w:name w:val="Título 1 Car"/>
    <w:basedOn w:val="Fuentedeprrafopredeter"/>
    <w:link w:val="Ttulo1"/>
    <w:uiPriority w:val="9"/>
    <w:rsid w:val="009D0AE0"/>
    <w:rPr>
      <w:rFonts w:asciiTheme="majorHAnsi" w:eastAsiaTheme="majorEastAsia" w:hAnsiTheme="majorHAnsi" w:cstheme="majorBidi"/>
      <w:color w:val="2F5496"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86211">
      <w:bodyDiv w:val="1"/>
      <w:marLeft w:val="0"/>
      <w:marRight w:val="0"/>
      <w:marTop w:val="0"/>
      <w:marBottom w:val="0"/>
      <w:divBdr>
        <w:top w:val="none" w:sz="0" w:space="0" w:color="auto"/>
        <w:left w:val="none" w:sz="0" w:space="0" w:color="auto"/>
        <w:bottom w:val="none" w:sz="0" w:space="0" w:color="auto"/>
        <w:right w:val="none" w:sz="0" w:space="0" w:color="auto"/>
      </w:divBdr>
    </w:div>
    <w:div w:id="163127799">
      <w:bodyDiv w:val="1"/>
      <w:marLeft w:val="0"/>
      <w:marRight w:val="0"/>
      <w:marTop w:val="0"/>
      <w:marBottom w:val="0"/>
      <w:divBdr>
        <w:top w:val="none" w:sz="0" w:space="0" w:color="auto"/>
        <w:left w:val="none" w:sz="0" w:space="0" w:color="auto"/>
        <w:bottom w:val="none" w:sz="0" w:space="0" w:color="auto"/>
        <w:right w:val="none" w:sz="0" w:space="0" w:color="auto"/>
      </w:divBdr>
      <w:divsChild>
        <w:div w:id="1333416403">
          <w:marLeft w:val="0"/>
          <w:marRight w:val="105"/>
          <w:marTop w:val="0"/>
          <w:marBottom w:val="60"/>
          <w:divBdr>
            <w:top w:val="none" w:sz="0" w:space="0" w:color="auto"/>
            <w:left w:val="none" w:sz="0" w:space="0" w:color="auto"/>
            <w:bottom w:val="none" w:sz="0" w:space="0" w:color="auto"/>
            <w:right w:val="none" w:sz="0" w:space="0" w:color="auto"/>
          </w:divBdr>
        </w:div>
        <w:div w:id="826631435">
          <w:marLeft w:val="0"/>
          <w:marRight w:val="105"/>
          <w:marTop w:val="0"/>
          <w:marBottom w:val="60"/>
          <w:divBdr>
            <w:top w:val="none" w:sz="0" w:space="0" w:color="auto"/>
            <w:left w:val="none" w:sz="0" w:space="0" w:color="auto"/>
            <w:bottom w:val="none" w:sz="0" w:space="0" w:color="auto"/>
            <w:right w:val="none" w:sz="0" w:space="0" w:color="auto"/>
          </w:divBdr>
        </w:div>
        <w:div w:id="2051151427">
          <w:marLeft w:val="0"/>
          <w:marRight w:val="105"/>
          <w:marTop w:val="0"/>
          <w:marBottom w:val="60"/>
          <w:divBdr>
            <w:top w:val="none" w:sz="0" w:space="0" w:color="auto"/>
            <w:left w:val="none" w:sz="0" w:space="0" w:color="auto"/>
            <w:bottom w:val="none" w:sz="0" w:space="0" w:color="auto"/>
            <w:right w:val="none" w:sz="0" w:space="0" w:color="auto"/>
          </w:divBdr>
        </w:div>
      </w:divsChild>
    </w:div>
    <w:div w:id="185796699">
      <w:bodyDiv w:val="1"/>
      <w:marLeft w:val="0"/>
      <w:marRight w:val="0"/>
      <w:marTop w:val="0"/>
      <w:marBottom w:val="0"/>
      <w:divBdr>
        <w:top w:val="none" w:sz="0" w:space="0" w:color="auto"/>
        <w:left w:val="none" w:sz="0" w:space="0" w:color="auto"/>
        <w:bottom w:val="none" w:sz="0" w:space="0" w:color="auto"/>
        <w:right w:val="none" w:sz="0" w:space="0" w:color="auto"/>
      </w:divBdr>
    </w:div>
    <w:div w:id="403799718">
      <w:bodyDiv w:val="1"/>
      <w:marLeft w:val="0"/>
      <w:marRight w:val="0"/>
      <w:marTop w:val="0"/>
      <w:marBottom w:val="0"/>
      <w:divBdr>
        <w:top w:val="none" w:sz="0" w:space="0" w:color="auto"/>
        <w:left w:val="none" w:sz="0" w:space="0" w:color="auto"/>
        <w:bottom w:val="none" w:sz="0" w:space="0" w:color="auto"/>
        <w:right w:val="none" w:sz="0" w:space="0" w:color="auto"/>
      </w:divBdr>
      <w:divsChild>
        <w:div w:id="22022700">
          <w:marLeft w:val="0"/>
          <w:marRight w:val="0"/>
          <w:marTop w:val="0"/>
          <w:marBottom w:val="0"/>
          <w:divBdr>
            <w:top w:val="none" w:sz="0" w:space="0" w:color="auto"/>
            <w:left w:val="none" w:sz="0" w:space="0" w:color="auto"/>
            <w:bottom w:val="none" w:sz="0" w:space="0" w:color="auto"/>
            <w:right w:val="none" w:sz="0" w:space="0" w:color="auto"/>
          </w:divBdr>
        </w:div>
        <w:div w:id="1155950616">
          <w:marLeft w:val="0"/>
          <w:marRight w:val="0"/>
          <w:marTop w:val="0"/>
          <w:marBottom w:val="0"/>
          <w:divBdr>
            <w:top w:val="none" w:sz="0" w:space="0" w:color="auto"/>
            <w:left w:val="none" w:sz="0" w:space="0" w:color="auto"/>
            <w:bottom w:val="none" w:sz="0" w:space="0" w:color="auto"/>
            <w:right w:val="none" w:sz="0" w:space="0" w:color="auto"/>
          </w:divBdr>
        </w:div>
      </w:divsChild>
    </w:div>
    <w:div w:id="488209463">
      <w:bodyDiv w:val="1"/>
      <w:marLeft w:val="0"/>
      <w:marRight w:val="0"/>
      <w:marTop w:val="0"/>
      <w:marBottom w:val="0"/>
      <w:divBdr>
        <w:top w:val="none" w:sz="0" w:space="0" w:color="auto"/>
        <w:left w:val="none" w:sz="0" w:space="0" w:color="auto"/>
        <w:bottom w:val="none" w:sz="0" w:space="0" w:color="auto"/>
        <w:right w:val="none" w:sz="0" w:space="0" w:color="auto"/>
      </w:divBdr>
    </w:div>
    <w:div w:id="565265018">
      <w:bodyDiv w:val="1"/>
      <w:marLeft w:val="0"/>
      <w:marRight w:val="0"/>
      <w:marTop w:val="0"/>
      <w:marBottom w:val="0"/>
      <w:divBdr>
        <w:top w:val="none" w:sz="0" w:space="0" w:color="auto"/>
        <w:left w:val="none" w:sz="0" w:space="0" w:color="auto"/>
        <w:bottom w:val="none" w:sz="0" w:space="0" w:color="auto"/>
        <w:right w:val="none" w:sz="0" w:space="0" w:color="auto"/>
      </w:divBdr>
    </w:div>
    <w:div w:id="575015253">
      <w:bodyDiv w:val="1"/>
      <w:marLeft w:val="0"/>
      <w:marRight w:val="0"/>
      <w:marTop w:val="0"/>
      <w:marBottom w:val="0"/>
      <w:divBdr>
        <w:top w:val="none" w:sz="0" w:space="0" w:color="auto"/>
        <w:left w:val="none" w:sz="0" w:space="0" w:color="auto"/>
        <w:bottom w:val="none" w:sz="0" w:space="0" w:color="auto"/>
        <w:right w:val="none" w:sz="0" w:space="0" w:color="auto"/>
      </w:divBdr>
    </w:div>
    <w:div w:id="714424236">
      <w:bodyDiv w:val="1"/>
      <w:marLeft w:val="0"/>
      <w:marRight w:val="0"/>
      <w:marTop w:val="0"/>
      <w:marBottom w:val="0"/>
      <w:divBdr>
        <w:top w:val="none" w:sz="0" w:space="0" w:color="auto"/>
        <w:left w:val="none" w:sz="0" w:space="0" w:color="auto"/>
        <w:bottom w:val="none" w:sz="0" w:space="0" w:color="auto"/>
        <w:right w:val="none" w:sz="0" w:space="0" w:color="auto"/>
      </w:divBdr>
    </w:div>
    <w:div w:id="851913485">
      <w:bodyDiv w:val="1"/>
      <w:marLeft w:val="0"/>
      <w:marRight w:val="0"/>
      <w:marTop w:val="0"/>
      <w:marBottom w:val="0"/>
      <w:divBdr>
        <w:top w:val="none" w:sz="0" w:space="0" w:color="auto"/>
        <w:left w:val="none" w:sz="0" w:space="0" w:color="auto"/>
        <w:bottom w:val="none" w:sz="0" w:space="0" w:color="auto"/>
        <w:right w:val="none" w:sz="0" w:space="0" w:color="auto"/>
      </w:divBdr>
    </w:div>
    <w:div w:id="930091038">
      <w:bodyDiv w:val="1"/>
      <w:marLeft w:val="0"/>
      <w:marRight w:val="0"/>
      <w:marTop w:val="0"/>
      <w:marBottom w:val="0"/>
      <w:divBdr>
        <w:top w:val="none" w:sz="0" w:space="0" w:color="auto"/>
        <w:left w:val="none" w:sz="0" w:space="0" w:color="auto"/>
        <w:bottom w:val="none" w:sz="0" w:space="0" w:color="auto"/>
        <w:right w:val="none" w:sz="0" w:space="0" w:color="auto"/>
      </w:divBdr>
    </w:div>
    <w:div w:id="978415633">
      <w:bodyDiv w:val="1"/>
      <w:marLeft w:val="0"/>
      <w:marRight w:val="0"/>
      <w:marTop w:val="0"/>
      <w:marBottom w:val="0"/>
      <w:divBdr>
        <w:top w:val="none" w:sz="0" w:space="0" w:color="auto"/>
        <w:left w:val="none" w:sz="0" w:space="0" w:color="auto"/>
        <w:bottom w:val="none" w:sz="0" w:space="0" w:color="auto"/>
        <w:right w:val="none" w:sz="0" w:space="0" w:color="auto"/>
      </w:divBdr>
    </w:div>
    <w:div w:id="1070739315">
      <w:bodyDiv w:val="1"/>
      <w:marLeft w:val="0"/>
      <w:marRight w:val="0"/>
      <w:marTop w:val="0"/>
      <w:marBottom w:val="0"/>
      <w:divBdr>
        <w:top w:val="none" w:sz="0" w:space="0" w:color="auto"/>
        <w:left w:val="none" w:sz="0" w:space="0" w:color="auto"/>
        <w:bottom w:val="none" w:sz="0" w:space="0" w:color="auto"/>
        <w:right w:val="none" w:sz="0" w:space="0" w:color="auto"/>
      </w:divBdr>
    </w:div>
    <w:div w:id="1172261094">
      <w:bodyDiv w:val="1"/>
      <w:marLeft w:val="0"/>
      <w:marRight w:val="0"/>
      <w:marTop w:val="0"/>
      <w:marBottom w:val="0"/>
      <w:divBdr>
        <w:top w:val="none" w:sz="0" w:space="0" w:color="auto"/>
        <w:left w:val="none" w:sz="0" w:space="0" w:color="auto"/>
        <w:bottom w:val="none" w:sz="0" w:space="0" w:color="auto"/>
        <w:right w:val="none" w:sz="0" w:space="0" w:color="auto"/>
      </w:divBdr>
      <w:divsChild>
        <w:div w:id="247616217">
          <w:marLeft w:val="0"/>
          <w:marRight w:val="0"/>
          <w:marTop w:val="0"/>
          <w:marBottom w:val="240"/>
          <w:divBdr>
            <w:top w:val="none" w:sz="0" w:space="0" w:color="auto"/>
            <w:left w:val="none" w:sz="0" w:space="0" w:color="auto"/>
            <w:bottom w:val="none" w:sz="0" w:space="0" w:color="auto"/>
            <w:right w:val="none" w:sz="0" w:space="0" w:color="auto"/>
          </w:divBdr>
          <w:divsChild>
            <w:div w:id="1602179518">
              <w:marLeft w:val="0"/>
              <w:marRight w:val="0"/>
              <w:marTop w:val="0"/>
              <w:marBottom w:val="0"/>
              <w:divBdr>
                <w:top w:val="none" w:sz="0" w:space="0" w:color="auto"/>
                <w:left w:val="none" w:sz="0" w:space="0" w:color="auto"/>
                <w:bottom w:val="none" w:sz="0" w:space="0" w:color="auto"/>
                <w:right w:val="none" w:sz="0" w:space="0" w:color="auto"/>
              </w:divBdr>
              <w:divsChild>
                <w:div w:id="710805576">
                  <w:marLeft w:val="0"/>
                  <w:marRight w:val="105"/>
                  <w:marTop w:val="0"/>
                  <w:marBottom w:val="60"/>
                  <w:divBdr>
                    <w:top w:val="none" w:sz="0" w:space="0" w:color="auto"/>
                    <w:left w:val="none" w:sz="0" w:space="0" w:color="auto"/>
                    <w:bottom w:val="none" w:sz="0" w:space="0" w:color="auto"/>
                    <w:right w:val="none" w:sz="0" w:space="0" w:color="auto"/>
                  </w:divBdr>
                </w:div>
                <w:div w:id="1094938766">
                  <w:marLeft w:val="0"/>
                  <w:marRight w:val="105"/>
                  <w:marTop w:val="0"/>
                  <w:marBottom w:val="60"/>
                  <w:divBdr>
                    <w:top w:val="none" w:sz="0" w:space="0" w:color="auto"/>
                    <w:left w:val="none" w:sz="0" w:space="0" w:color="auto"/>
                    <w:bottom w:val="none" w:sz="0" w:space="0" w:color="auto"/>
                    <w:right w:val="none" w:sz="0" w:space="0" w:color="auto"/>
                  </w:divBdr>
                </w:div>
                <w:div w:id="637344158">
                  <w:marLeft w:val="0"/>
                  <w:marRight w:val="105"/>
                  <w:marTop w:val="0"/>
                  <w:marBottom w:val="60"/>
                  <w:divBdr>
                    <w:top w:val="none" w:sz="0" w:space="0" w:color="auto"/>
                    <w:left w:val="none" w:sz="0" w:space="0" w:color="auto"/>
                    <w:bottom w:val="none" w:sz="0" w:space="0" w:color="auto"/>
                    <w:right w:val="none" w:sz="0" w:space="0" w:color="auto"/>
                  </w:divBdr>
                </w:div>
              </w:divsChild>
            </w:div>
          </w:divsChild>
        </w:div>
      </w:divsChild>
    </w:div>
    <w:div w:id="1248072673">
      <w:bodyDiv w:val="1"/>
      <w:marLeft w:val="0"/>
      <w:marRight w:val="0"/>
      <w:marTop w:val="0"/>
      <w:marBottom w:val="0"/>
      <w:divBdr>
        <w:top w:val="none" w:sz="0" w:space="0" w:color="auto"/>
        <w:left w:val="none" w:sz="0" w:space="0" w:color="auto"/>
        <w:bottom w:val="none" w:sz="0" w:space="0" w:color="auto"/>
        <w:right w:val="none" w:sz="0" w:space="0" w:color="auto"/>
      </w:divBdr>
    </w:div>
    <w:div w:id="1543132808">
      <w:bodyDiv w:val="1"/>
      <w:marLeft w:val="0"/>
      <w:marRight w:val="0"/>
      <w:marTop w:val="0"/>
      <w:marBottom w:val="0"/>
      <w:divBdr>
        <w:top w:val="none" w:sz="0" w:space="0" w:color="auto"/>
        <w:left w:val="none" w:sz="0" w:space="0" w:color="auto"/>
        <w:bottom w:val="none" w:sz="0" w:space="0" w:color="auto"/>
        <w:right w:val="none" w:sz="0" w:space="0" w:color="auto"/>
      </w:divBdr>
    </w:div>
    <w:div w:id="1547378010">
      <w:bodyDiv w:val="1"/>
      <w:marLeft w:val="0"/>
      <w:marRight w:val="0"/>
      <w:marTop w:val="0"/>
      <w:marBottom w:val="0"/>
      <w:divBdr>
        <w:top w:val="none" w:sz="0" w:space="0" w:color="auto"/>
        <w:left w:val="none" w:sz="0" w:space="0" w:color="auto"/>
        <w:bottom w:val="none" w:sz="0" w:space="0" w:color="auto"/>
        <w:right w:val="none" w:sz="0" w:space="0" w:color="auto"/>
      </w:divBdr>
    </w:div>
    <w:div w:id="1597441013">
      <w:bodyDiv w:val="1"/>
      <w:marLeft w:val="0"/>
      <w:marRight w:val="0"/>
      <w:marTop w:val="0"/>
      <w:marBottom w:val="0"/>
      <w:divBdr>
        <w:top w:val="none" w:sz="0" w:space="0" w:color="auto"/>
        <w:left w:val="none" w:sz="0" w:space="0" w:color="auto"/>
        <w:bottom w:val="none" w:sz="0" w:space="0" w:color="auto"/>
        <w:right w:val="none" w:sz="0" w:space="0" w:color="auto"/>
      </w:divBdr>
    </w:div>
    <w:div w:id="1724137844">
      <w:bodyDiv w:val="1"/>
      <w:marLeft w:val="0"/>
      <w:marRight w:val="0"/>
      <w:marTop w:val="0"/>
      <w:marBottom w:val="0"/>
      <w:divBdr>
        <w:top w:val="none" w:sz="0" w:space="0" w:color="auto"/>
        <w:left w:val="none" w:sz="0" w:space="0" w:color="auto"/>
        <w:bottom w:val="none" w:sz="0" w:space="0" w:color="auto"/>
        <w:right w:val="none" w:sz="0" w:space="0" w:color="auto"/>
      </w:divBdr>
    </w:div>
    <w:div w:id="1894845065">
      <w:bodyDiv w:val="1"/>
      <w:marLeft w:val="0"/>
      <w:marRight w:val="0"/>
      <w:marTop w:val="0"/>
      <w:marBottom w:val="0"/>
      <w:divBdr>
        <w:top w:val="none" w:sz="0" w:space="0" w:color="auto"/>
        <w:left w:val="none" w:sz="0" w:space="0" w:color="auto"/>
        <w:bottom w:val="none" w:sz="0" w:space="0" w:color="auto"/>
        <w:right w:val="none" w:sz="0" w:space="0" w:color="auto"/>
      </w:divBdr>
    </w:div>
    <w:div w:id="19402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void(0);" TargetMode="External"/><Relationship Id="rId21" Type="http://schemas.openxmlformats.org/officeDocument/2006/relationships/hyperlink" Target="javascript:void(0);" TargetMode="External"/><Relationship Id="rId42" Type="http://schemas.openxmlformats.org/officeDocument/2006/relationships/hyperlink" Target="https://www.metabolismjournal.com/article/S0026-0495(09)00316-3/fulltext" TargetMode="External"/><Relationship Id="rId47" Type="http://schemas.openxmlformats.org/officeDocument/2006/relationships/hyperlink" Target="https://www.metabolismjournal.com/article/S0026-0495(09)00316-3/fulltext" TargetMode="External"/><Relationship Id="rId63" Type="http://schemas.openxmlformats.org/officeDocument/2006/relationships/hyperlink" Target="https://www.metabolismjournal.com/article/S0026-0495(09)00316-3/fulltext" TargetMode="External"/><Relationship Id="rId68" Type="http://schemas.openxmlformats.org/officeDocument/2006/relationships/hyperlink" Target="https://www.metabolismjournal.com/article/S0026-0495(09)00316-3/fulltext" TargetMode="External"/><Relationship Id="rId84" Type="http://schemas.openxmlformats.org/officeDocument/2006/relationships/hyperlink" Target="javascript:void(0);" TargetMode="External"/><Relationship Id="rId89" Type="http://schemas.openxmlformats.org/officeDocument/2006/relationships/hyperlink" Target="javascript:void(0);" TargetMode="External"/><Relationship Id="rId7" Type="http://schemas.openxmlformats.org/officeDocument/2006/relationships/hyperlink" Target="javascript:void(0);" TargetMode="External"/><Relationship Id="rId71" Type="http://schemas.openxmlformats.org/officeDocument/2006/relationships/hyperlink" Target="https://www.metabolismjournal.com/article/S0026-0495(09)00316-3/fulltext" TargetMode="External"/><Relationship Id="rId92"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image" Target="media/image2.png"/><Relationship Id="rId40" Type="http://schemas.openxmlformats.org/officeDocument/2006/relationships/image" Target="media/image3.png"/><Relationship Id="rId45" Type="http://schemas.openxmlformats.org/officeDocument/2006/relationships/hyperlink" Target="https://www.metabolismjournal.com/article/S0026-0495(09)00316-3/fulltext" TargetMode="External"/><Relationship Id="rId53" Type="http://schemas.openxmlformats.org/officeDocument/2006/relationships/hyperlink" Target="https://els-jbs-prod-cdn.literatumonline.com/cms/attachment/2006303780/2028542791/gr3.jpg" TargetMode="External"/><Relationship Id="rId58" Type="http://schemas.openxmlformats.org/officeDocument/2006/relationships/hyperlink" Target="javascript:void(0);" TargetMode="External"/><Relationship Id="rId66" Type="http://schemas.openxmlformats.org/officeDocument/2006/relationships/hyperlink" Target="https://www.metabolismjournal.com/article/S0026-0495(09)00316-3/fulltext" TargetMode="External"/><Relationship Id="rId74" Type="http://schemas.openxmlformats.org/officeDocument/2006/relationships/hyperlink" Target="https://www.metabolismjournal.com/article/S0026-0495(09)00316-3/fulltext" TargetMode="External"/><Relationship Id="rId79" Type="http://schemas.openxmlformats.org/officeDocument/2006/relationships/hyperlink" Target="https://www.metabolismjournal.com/article/S0026-0495(09)00316-3/fulltext" TargetMode="External"/><Relationship Id="rId87" Type="http://schemas.openxmlformats.org/officeDocument/2006/relationships/hyperlink" Target="javascript:void(0);" TargetMode="External"/><Relationship Id="rId102" Type="http://schemas.openxmlformats.org/officeDocument/2006/relationships/hyperlink" Target="javascript:void(0);" TargetMode="External"/><Relationship Id="rId5" Type="http://schemas.openxmlformats.org/officeDocument/2006/relationships/hyperlink" Target="javascript:void(0);" TargetMode="External"/><Relationship Id="rId61" Type="http://schemas.openxmlformats.org/officeDocument/2006/relationships/hyperlink" Target="https://els-jbs-prod-cdn.literatumonline.com/cms/attachment/2006303780/2028542790/gr4.jpg" TargetMode="External"/><Relationship Id="rId82" Type="http://schemas.openxmlformats.org/officeDocument/2006/relationships/hyperlink" Target="javascript:void(0);" TargetMode="External"/><Relationship Id="rId90" Type="http://schemas.openxmlformats.org/officeDocument/2006/relationships/hyperlink" Target="javascript:void(0);" TargetMode="External"/><Relationship Id="rId95" Type="http://schemas.openxmlformats.org/officeDocument/2006/relationships/hyperlink" Target="javascript:void(0);" TargetMode="External"/><Relationship Id="rId1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https://els-jbs-prod-cdn.literatumonline.com/cms/attachment/2006303780/2028542793/gr1.jpg" TargetMode="External"/><Relationship Id="rId43" Type="http://schemas.openxmlformats.org/officeDocument/2006/relationships/hyperlink" Target="https://www.metabolismjournal.com/article/S0026-0495(09)00316-3/fulltext" TargetMode="External"/><Relationship Id="rId48" Type="http://schemas.openxmlformats.org/officeDocument/2006/relationships/hyperlink" Target="https://www.metabolismjournal.com/article/S0026-0495(09)00316-3/fulltext" TargetMode="External"/><Relationship Id="rId56" Type="http://schemas.openxmlformats.org/officeDocument/2006/relationships/hyperlink" Target="https://els-jbs-prod-cdn.literatumonline.com/cms/attachment/2006303780/2028542793/gr1.jpg" TargetMode="External"/><Relationship Id="rId64" Type="http://schemas.openxmlformats.org/officeDocument/2006/relationships/hyperlink" Target="https://www.metabolismjournal.com/article/S0026-0495(09)00316-3/fulltext" TargetMode="External"/><Relationship Id="rId69" Type="http://schemas.openxmlformats.org/officeDocument/2006/relationships/hyperlink" Target="https://www.metabolismjournal.com/article/S0026-0495(09)00316-3/fulltext" TargetMode="External"/><Relationship Id="rId77" Type="http://schemas.openxmlformats.org/officeDocument/2006/relationships/hyperlink" Target="https://www.metabolismjournal.com/article/S0026-0495(09)00316-3/fulltext" TargetMode="External"/><Relationship Id="rId100" Type="http://schemas.openxmlformats.org/officeDocument/2006/relationships/hyperlink" Target="javascript:void(0);" TargetMode="External"/><Relationship Id="rId105" Type="http://schemas.openxmlformats.org/officeDocument/2006/relationships/fontTable" Target="fontTable.xml"/><Relationship Id="rId8" Type="http://schemas.openxmlformats.org/officeDocument/2006/relationships/hyperlink" Target="javascript:void(0);" TargetMode="External"/><Relationship Id="rId51" Type="http://schemas.openxmlformats.org/officeDocument/2006/relationships/hyperlink" Target="https://www.metabolismjournal.com/article/S0026-0495(09)00316-3/fulltext" TargetMode="External"/><Relationship Id="rId72" Type="http://schemas.openxmlformats.org/officeDocument/2006/relationships/hyperlink" Target="https://www.metabolismjournal.com/article/S0026-0495(09)00316-3/fulltext" TargetMode="External"/><Relationship Id="rId80" Type="http://schemas.openxmlformats.org/officeDocument/2006/relationships/hyperlink" Target="https://www.metabolismjournal.com/article/S0026-0495(09)00316-3/fulltext#back-tblfn3" TargetMode="External"/><Relationship Id="rId85" Type="http://schemas.openxmlformats.org/officeDocument/2006/relationships/hyperlink" Target="javascript:void(0);" TargetMode="External"/><Relationship Id="rId93" Type="http://schemas.openxmlformats.org/officeDocument/2006/relationships/hyperlink" Target="javascript:void(0);" TargetMode="External"/><Relationship Id="rId98" Type="http://schemas.openxmlformats.org/officeDocument/2006/relationships/hyperlink" Target="javascript:void(0);" TargetMode="External"/><Relationship Id="rId3" Type="http://schemas.openxmlformats.org/officeDocument/2006/relationships/webSettings" Target="web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https://els-jbs-prod-cdn.literatumonline.com/cms/attachment/2006303780/2028542793/gr1.jpg" TargetMode="External"/><Relationship Id="rId38" Type="http://schemas.openxmlformats.org/officeDocument/2006/relationships/hyperlink" Target="https://www.metabolismjournal.com/article/S0026-0495(09)00316-3/fulltext" TargetMode="External"/><Relationship Id="rId46" Type="http://schemas.openxmlformats.org/officeDocument/2006/relationships/hyperlink" Target="https://www.metabolismjournal.com/article/S0026-0495(09)00316-3/fulltext" TargetMode="External"/><Relationship Id="rId59" Type="http://schemas.openxmlformats.org/officeDocument/2006/relationships/hyperlink" Target="javascript:void(0);" TargetMode="External"/><Relationship Id="rId67" Type="http://schemas.openxmlformats.org/officeDocument/2006/relationships/hyperlink" Target="https://www.metabolismjournal.com/article/S0026-0495(09)00316-3/fulltext" TargetMode="External"/><Relationship Id="rId103" Type="http://schemas.openxmlformats.org/officeDocument/2006/relationships/hyperlink" Target="javascript:void(0);" TargetMode="External"/><Relationship Id="rId20" Type="http://schemas.openxmlformats.org/officeDocument/2006/relationships/hyperlink" Target="javascript:void(0);" TargetMode="External"/><Relationship Id="rId41" Type="http://schemas.openxmlformats.org/officeDocument/2006/relationships/hyperlink" Target="https://www.metabolismjournal.com/article/S0026-0495(09)00316-3/fulltext" TargetMode="External"/><Relationship Id="rId54" Type="http://schemas.openxmlformats.org/officeDocument/2006/relationships/image" Target="media/image4.png"/><Relationship Id="rId62" Type="http://schemas.openxmlformats.org/officeDocument/2006/relationships/image" Target="media/image5.png"/><Relationship Id="rId70" Type="http://schemas.openxmlformats.org/officeDocument/2006/relationships/hyperlink" Target="https://www.metabolismjournal.com/article/S0026-0495(09)00316-3/fulltext" TargetMode="External"/><Relationship Id="rId75" Type="http://schemas.openxmlformats.org/officeDocument/2006/relationships/hyperlink" Target="https://www.metabolismjournal.com/article/S0026-0495(09)00316-3/fulltext" TargetMode="External"/><Relationship Id="rId83" Type="http://schemas.openxmlformats.org/officeDocument/2006/relationships/hyperlink" Target="javascript:void(0);" TargetMode="External"/><Relationship Id="rId88" Type="http://schemas.openxmlformats.org/officeDocument/2006/relationships/hyperlink" Target="javascript:void(0);" TargetMode="External"/><Relationship Id="rId91" Type="http://schemas.openxmlformats.org/officeDocument/2006/relationships/hyperlink" Target="javascript:void(0);" TargetMode="External"/><Relationship Id="rId96"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image" Target="media/image1.png"/><Relationship Id="rId49" Type="http://schemas.openxmlformats.org/officeDocument/2006/relationships/hyperlink" Target="https://www.metabolismjournal.com/article/S0026-0495(09)00316-3/fulltext" TargetMode="External"/><Relationship Id="rId57" Type="http://schemas.openxmlformats.org/officeDocument/2006/relationships/hyperlink" Target="https://els-jbs-prod-cdn.literatumonline.com/cms/attachment/2006303780/2028542791/gr3.jpg" TargetMode="External"/><Relationship Id="rId106" Type="http://schemas.openxmlformats.org/officeDocument/2006/relationships/theme" Target="theme/theme1.xml"/><Relationship Id="rId10"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https://www.metabolismjournal.com/article/S0026-0495(09)00316-3/fulltext"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https://www.metabolismjournal.com/article/S0026-0495(09)00316-3/fulltext" TargetMode="External"/><Relationship Id="rId73" Type="http://schemas.openxmlformats.org/officeDocument/2006/relationships/hyperlink" Target="https://www.metabolismjournal.com/article/S0026-0495(09)00316-3/fulltext" TargetMode="External"/><Relationship Id="rId78" Type="http://schemas.openxmlformats.org/officeDocument/2006/relationships/hyperlink" Target="https://www.metabolismjournal.com/article/S0026-0495(09)00316-3/fulltext" TargetMode="External"/><Relationship Id="rId81" Type="http://schemas.openxmlformats.org/officeDocument/2006/relationships/hyperlink" Target="https://www.metabolismjournal.com/article/S0026-0495(09)00316-3/fulltext" TargetMode="External"/><Relationship Id="rId86" Type="http://schemas.openxmlformats.org/officeDocument/2006/relationships/hyperlink" Target="javascript:void(0);" TargetMode="External"/><Relationship Id="rId94" Type="http://schemas.openxmlformats.org/officeDocument/2006/relationships/hyperlink" Target="javascript:void(0);" TargetMode="External"/><Relationship Id="rId99" Type="http://schemas.openxmlformats.org/officeDocument/2006/relationships/hyperlink" Target="javascript:void(0);" TargetMode="External"/><Relationship Id="rId101"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9" Type="http://schemas.openxmlformats.org/officeDocument/2006/relationships/hyperlink" Target="https://els-jbs-prod-cdn.literatumonline.com/cms/attachment/2006303780/2028542792/gr2.jpg" TargetMode="External"/><Relationship Id="rId34" Type="http://schemas.openxmlformats.org/officeDocument/2006/relationships/hyperlink" Target="https://els-jbs-prod-cdn.literatumonline.com/cms/attachment/2006303780/2028542793/gr1.jpg" TargetMode="External"/><Relationship Id="rId50" Type="http://schemas.openxmlformats.org/officeDocument/2006/relationships/hyperlink" Target="https://www.metabolismjournal.com/article/S0026-0495(09)00316-3/fulltext#back-tblfn1" TargetMode="External"/><Relationship Id="rId55" Type="http://schemas.openxmlformats.org/officeDocument/2006/relationships/hyperlink" Target="https://els-jbs-prod-cdn.literatumonline.com/cms/attachment/2006303780/2028542791/gr3.jpg" TargetMode="External"/><Relationship Id="rId76" Type="http://schemas.openxmlformats.org/officeDocument/2006/relationships/hyperlink" Target="https://www.metabolismjournal.com/article/S0026-0495(09)00316-3/fulltext" TargetMode="External"/><Relationship Id="rId97" Type="http://schemas.openxmlformats.org/officeDocument/2006/relationships/hyperlink" Target="javascript:void(0);" TargetMode="External"/><Relationship Id="rId104"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5635</Words>
  <Characters>30996</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 Mª Parella Lopez</dc:creator>
  <cp:keywords/>
  <dc:description/>
  <cp:lastModifiedBy>josep Mª Parella Lopez</cp:lastModifiedBy>
  <cp:revision>3</cp:revision>
  <dcterms:created xsi:type="dcterms:W3CDTF">2019-11-11T16:48:00Z</dcterms:created>
  <dcterms:modified xsi:type="dcterms:W3CDTF">2020-05-06T14:37:00Z</dcterms:modified>
</cp:coreProperties>
</file>